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pPr w:leftFromText="141" w:rightFromText="141" w:vertAnchor="page" w:horzAnchor="margin" w:tblpY="436"/>
        <w:tblW w:w="10354" w:type="dxa"/>
        <w:tblInd w:w="0" w:type="dxa"/>
        <w:tblLayout w:type="fixed"/>
        <w:tblCellMar>
          <w:top w:w="0" w:type="dxa"/>
          <w:left w:w="115" w:type="dxa"/>
          <w:bottom w:w="0" w:type="dxa"/>
          <w:right w:w="115" w:type="dxa"/>
        </w:tblCellMar>
      </w:tblPr>
      <w:tblGrid>
        <w:gridCol w:w="3880"/>
        <w:gridCol w:w="2644"/>
        <w:gridCol w:w="3830"/>
      </w:tblGrid>
      <w:tr>
        <w:tblPrEx>
          <w:tblLayout w:type="fixed"/>
        </w:tblPrEx>
        <w:trPr>
          <w:cantSplit/>
          <w:trHeight w:val="2265" w:hRule="atLeast"/>
          <w:tblHeader/>
        </w:trPr>
        <w:tc>
          <w:tcPr>
            <w:tcW w:w="3880" w:type="dxa"/>
            <w:shd w:val="clear" w:color="auto" w:fill="auto"/>
          </w:tcPr>
          <w:p>
            <w:pPr>
              <w:pStyle w:val="3"/>
              <w:keepLines/>
              <w:jc w:val="center"/>
              <w:rPr>
                <w:b/>
                <w:color w:val="262626"/>
                <w:sz w:val="20"/>
                <w:szCs w:val="20"/>
              </w:rPr>
            </w:pPr>
            <w:r>
              <w:rPr>
                <w:b/>
                <w:color w:val="262626"/>
                <w:sz w:val="20"/>
                <w:szCs w:val="20"/>
              </w:rPr>
              <w:t>REPUBLIQUE DU CAMEROUN</w:t>
            </w:r>
          </w:p>
          <w:p>
            <w:pPr>
              <w:pStyle w:val="3"/>
              <w:keepLines/>
              <w:jc w:val="center"/>
              <w:rPr>
                <w:b/>
                <w:color w:val="262626"/>
                <w:sz w:val="20"/>
                <w:szCs w:val="20"/>
              </w:rPr>
            </w:pPr>
            <w:r>
              <w:rPr>
                <w:b/>
                <w:color w:val="262626"/>
                <w:sz w:val="20"/>
                <w:szCs w:val="20"/>
              </w:rPr>
              <w:t>Paix – Travail – Patrie</w:t>
            </w:r>
          </w:p>
          <w:p>
            <w:pPr>
              <w:pStyle w:val="3"/>
              <w:jc w:val="center"/>
              <w:rPr>
                <w:b/>
                <w:color w:val="262626"/>
                <w:sz w:val="20"/>
                <w:szCs w:val="20"/>
              </w:rPr>
            </w:pPr>
            <w:r>
              <w:rPr>
                <w:b/>
                <w:color w:val="262626"/>
                <w:sz w:val="20"/>
                <w:szCs w:val="20"/>
              </w:rPr>
              <w:t>--------------</w:t>
            </w:r>
          </w:p>
          <w:p>
            <w:pPr>
              <w:pStyle w:val="3"/>
              <w:keepLines/>
              <w:jc w:val="center"/>
              <w:rPr>
                <w:color w:val="262626"/>
                <w:sz w:val="20"/>
                <w:szCs w:val="20"/>
              </w:rPr>
            </w:pPr>
            <w:r>
              <w:rPr>
                <w:color w:val="262626"/>
                <w:sz w:val="20"/>
                <w:szCs w:val="20"/>
              </w:rPr>
              <w:t>REGION DU SUD</w:t>
            </w:r>
          </w:p>
          <w:p>
            <w:pPr>
              <w:pStyle w:val="3"/>
              <w:keepLines/>
              <w:jc w:val="center"/>
              <w:rPr>
                <w:color w:val="262626"/>
                <w:sz w:val="20"/>
                <w:szCs w:val="20"/>
              </w:rPr>
            </w:pPr>
            <w:r>
              <w:rPr>
                <w:color w:val="262626"/>
                <w:sz w:val="20"/>
                <w:szCs w:val="20"/>
              </w:rPr>
              <w:t xml:space="preserve">---------- </w:t>
            </w:r>
          </w:p>
          <w:p>
            <w:pPr>
              <w:pStyle w:val="3"/>
              <w:keepLines/>
              <w:jc w:val="center"/>
              <w:rPr>
                <w:color w:val="262626"/>
                <w:sz w:val="20"/>
                <w:szCs w:val="20"/>
              </w:rPr>
            </w:pPr>
            <w:r>
              <w:rPr>
                <w:color w:val="262626"/>
                <w:sz w:val="20"/>
                <w:szCs w:val="20"/>
              </w:rPr>
              <w:t>DEPARTEMENT DE LA MVILA</w:t>
            </w:r>
          </w:p>
          <w:p>
            <w:pPr>
              <w:pStyle w:val="3"/>
              <w:keepLines/>
              <w:jc w:val="center"/>
              <w:rPr>
                <w:color w:val="262626"/>
                <w:sz w:val="20"/>
                <w:szCs w:val="20"/>
              </w:rPr>
            </w:pPr>
            <w:r>
              <w:rPr>
                <w:color w:val="262626"/>
                <w:sz w:val="20"/>
                <w:szCs w:val="20"/>
              </w:rPr>
              <w:t>-----------------</w:t>
            </w:r>
          </w:p>
          <w:p>
            <w:pPr>
              <w:pStyle w:val="3"/>
              <w:keepLines/>
              <w:jc w:val="center"/>
              <w:rPr>
                <w:color w:val="262626"/>
                <w:sz w:val="20"/>
                <w:szCs w:val="20"/>
              </w:rPr>
            </w:pPr>
            <w:r>
              <w:rPr>
                <w:color w:val="262626"/>
                <w:sz w:val="20"/>
                <w:szCs w:val="20"/>
              </w:rPr>
              <w:t>COMMUNE DE BIWONG BULU</w:t>
            </w:r>
          </w:p>
          <w:p>
            <w:pPr>
              <w:pStyle w:val="3"/>
              <w:jc w:val="center"/>
              <w:rPr>
                <w:color w:val="262626"/>
                <w:sz w:val="20"/>
                <w:szCs w:val="20"/>
              </w:rPr>
            </w:pPr>
            <w:r>
              <w:rPr>
                <w:color w:val="262626"/>
                <w:sz w:val="20"/>
                <w:szCs w:val="20"/>
              </w:rPr>
              <w:t>-----------------------</w:t>
            </w:r>
          </w:p>
          <w:p>
            <w:pPr>
              <w:pStyle w:val="3"/>
              <w:jc w:val="center"/>
              <w:rPr>
                <w:sz w:val="20"/>
                <w:szCs w:val="20"/>
              </w:rPr>
            </w:pPr>
            <w:r>
              <w:rPr>
                <w:sz w:val="20"/>
                <w:szCs w:val="20"/>
              </w:rPr>
              <w:t xml:space="preserve">COMMISSION INTERNE  DE PASSATION DES MARCHES </w:t>
            </w:r>
          </w:p>
          <w:p>
            <w:pPr>
              <w:pStyle w:val="3"/>
              <w:keepLines/>
              <w:jc w:val="center"/>
              <w:rPr>
                <w:color w:val="262626"/>
                <w:sz w:val="20"/>
                <w:szCs w:val="20"/>
              </w:rPr>
            </w:pPr>
          </w:p>
        </w:tc>
        <w:tc>
          <w:tcPr>
            <w:tcW w:w="2644" w:type="dxa"/>
            <w:shd w:val="clear" w:color="auto" w:fill="auto"/>
          </w:tcPr>
          <w:p>
            <w:pPr>
              <w:pStyle w:val="3"/>
              <w:rPr>
                <w:sz w:val="20"/>
                <w:szCs w:val="20"/>
              </w:rPr>
            </w:pPr>
            <w:r>
              <w:drawing>
                <wp:anchor distT="0" distB="0" distL="114300" distR="114300" simplePos="0" relativeHeight="251664384" behindDoc="0" locked="0" layoutInCell="1" allowOverlap="1">
                  <wp:simplePos x="0" y="0"/>
                  <wp:positionH relativeFrom="column">
                    <wp:posOffset>264795</wp:posOffset>
                  </wp:positionH>
                  <wp:positionV relativeFrom="paragraph">
                    <wp:posOffset>78105</wp:posOffset>
                  </wp:positionV>
                  <wp:extent cx="970280" cy="1065530"/>
                  <wp:effectExtent l="0" t="0" r="0" b="0"/>
                  <wp:wrapSquare wrapText="bothSides"/>
                  <wp:docPr id="17" name="image8.png" descr="Description : Description : D:\Images\Sceau.jpg"/>
                  <wp:cNvGraphicFramePr/>
                  <a:graphic xmlns:a="http://schemas.openxmlformats.org/drawingml/2006/main">
                    <a:graphicData uri="http://schemas.openxmlformats.org/drawingml/2006/picture">
                      <pic:pic xmlns:pic="http://schemas.openxmlformats.org/drawingml/2006/picture">
                        <pic:nvPicPr>
                          <pic:cNvPr id="17" name="image8.png" descr="Description : Description : D:\Images\Sceau.jpg"/>
                          <pic:cNvPicPr preferRelativeResize="0"/>
                        </pic:nvPicPr>
                        <pic:blipFill>
                          <a:blip r:embed="rId10"/>
                          <a:srcRect l="12541" t="4544" r="9351" b="4608"/>
                          <a:stretch>
                            <a:fillRect/>
                          </a:stretch>
                        </pic:blipFill>
                        <pic:spPr>
                          <a:xfrm>
                            <a:off x="0" y="0"/>
                            <a:ext cx="970280" cy="1065530"/>
                          </a:xfrm>
                          <a:prstGeom prst="rect">
                            <a:avLst/>
                          </a:prstGeom>
                        </pic:spPr>
                      </pic:pic>
                    </a:graphicData>
                  </a:graphic>
                </wp:anchor>
              </w:drawing>
            </w:r>
          </w:p>
          <w:p>
            <w:pPr>
              <w:pStyle w:val="3"/>
              <w:jc w:val="center"/>
              <w:rPr>
                <w:rFonts w:ascii="Teko" w:hAnsi="Teko" w:eastAsia="Teko" w:cs="Teko"/>
                <w:color w:val="0000FF"/>
                <w:sz w:val="20"/>
                <w:szCs w:val="20"/>
                <w:u w:val="single"/>
                <w:lang w:val="en-US"/>
              </w:rPr>
            </w:pPr>
            <w:r>
              <w:rPr>
                <w:sz w:val="20"/>
                <w:szCs w:val="20"/>
                <w:lang w:val="en-US"/>
              </w:rPr>
              <w:t>B.P : 657 Ebolowa</w:t>
            </w:r>
          </w:p>
          <w:p>
            <w:pPr>
              <w:pStyle w:val="3"/>
              <w:jc w:val="center"/>
              <w:rPr>
                <w:rFonts w:ascii="Teko" w:hAnsi="Teko" w:eastAsia="Teko" w:cs="Teko"/>
                <w:color w:val="0000FF"/>
                <w:sz w:val="16"/>
                <w:szCs w:val="16"/>
                <w:u w:val="single"/>
                <w:lang w:val="en-US"/>
              </w:rPr>
            </w:pPr>
            <w:r>
              <w:fldChar w:fldCharType="begin"/>
            </w:r>
            <w:r>
              <w:instrText xml:space="preserve"> HYPERLINK "http://word/mailto:communebiwongbulu@yahoo.fr" \h </w:instrText>
            </w:r>
            <w:r>
              <w:fldChar w:fldCharType="separate"/>
            </w:r>
            <w:r>
              <w:rPr>
                <w:rFonts w:ascii="Teko" w:hAnsi="Teko" w:eastAsia="Teko" w:cs="Teko"/>
                <w:color w:val="0000FF"/>
                <w:sz w:val="16"/>
                <w:szCs w:val="16"/>
                <w:u w:val="single"/>
                <w:lang w:val="en-US"/>
              </w:rPr>
              <w:t>communebiwongbulu</w:t>
            </w:r>
            <w:r>
              <w:rPr>
                <w:rFonts w:ascii="Teko" w:hAnsi="Teko" w:eastAsia="Teko" w:cs="Teko"/>
                <w:color w:val="0000FF"/>
                <w:sz w:val="16"/>
                <w:szCs w:val="16"/>
                <w:u w:val="single"/>
                <w:lang w:val="en-US"/>
              </w:rPr>
              <w:fldChar w:fldCharType="end"/>
            </w:r>
            <w:r>
              <w:fldChar w:fldCharType="begin"/>
            </w:r>
            <w:r>
              <w:instrText xml:space="preserve"> HYPERLINK "http://word/mailto:communebiwongbulu@yahoo.fr" \h </w:instrText>
            </w:r>
            <w:r>
              <w:fldChar w:fldCharType="separate"/>
            </w:r>
            <w:r>
              <w:rPr>
                <w:color w:val="0000FF"/>
                <w:sz w:val="16"/>
                <w:szCs w:val="16"/>
                <w:u w:val="single"/>
                <w:lang w:val="en-US"/>
              </w:rPr>
              <w:t>@</w:t>
            </w:r>
            <w:r>
              <w:rPr>
                <w:color w:val="0000FF"/>
                <w:sz w:val="16"/>
                <w:szCs w:val="16"/>
                <w:u w:val="single"/>
                <w:lang w:val="en-US"/>
              </w:rPr>
              <w:fldChar w:fldCharType="end"/>
            </w:r>
            <w:r>
              <w:fldChar w:fldCharType="begin"/>
            </w:r>
            <w:r>
              <w:instrText xml:space="preserve"> HYPERLINK "http://word/mailto:communebiwongbulu@yahoo.fr" \h </w:instrText>
            </w:r>
            <w:r>
              <w:fldChar w:fldCharType="separate"/>
            </w:r>
            <w:r>
              <w:rPr>
                <w:rFonts w:ascii="Teko" w:hAnsi="Teko" w:eastAsia="Teko" w:cs="Teko"/>
                <w:color w:val="0000FF"/>
                <w:sz w:val="16"/>
                <w:szCs w:val="16"/>
                <w:u w:val="single"/>
                <w:lang w:val="en-US"/>
              </w:rPr>
              <w:t>yahoo.fr</w:t>
            </w:r>
            <w:r>
              <w:rPr>
                <w:rFonts w:ascii="Teko" w:hAnsi="Teko" w:eastAsia="Teko" w:cs="Teko"/>
                <w:color w:val="0000FF"/>
                <w:sz w:val="16"/>
                <w:szCs w:val="16"/>
                <w:u w:val="single"/>
                <w:lang w:val="en-US"/>
              </w:rPr>
              <w:fldChar w:fldCharType="end"/>
            </w:r>
            <w:r>
              <w:rPr>
                <w:rFonts w:ascii="Teko" w:hAnsi="Teko" w:eastAsia="Teko" w:cs="Teko"/>
                <w:color w:val="0000FF"/>
                <w:sz w:val="16"/>
                <w:szCs w:val="16"/>
                <w:u w:val="single"/>
                <w:lang w:val="en-US"/>
              </w:rPr>
              <w:t xml:space="preserve">         </w:t>
            </w:r>
          </w:p>
          <w:p>
            <w:pPr>
              <w:pStyle w:val="3"/>
              <w:jc w:val="center"/>
              <w:rPr>
                <w:color w:val="262626"/>
                <w:sz w:val="20"/>
                <w:szCs w:val="20"/>
              </w:rPr>
            </w:pPr>
            <w:r>
              <w:rPr>
                <w:sz w:val="20"/>
                <w:szCs w:val="20"/>
              </w:rPr>
              <w:t>672726 077/ 683689096</w:t>
            </w:r>
          </w:p>
        </w:tc>
        <w:tc>
          <w:tcPr>
            <w:tcW w:w="3830" w:type="dxa"/>
            <w:shd w:val="clear" w:color="auto" w:fill="auto"/>
          </w:tcPr>
          <w:p>
            <w:pPr>
              <w:pStyle w:val="3"/>
              <w:keepLines/>
              <w:jc w:val="center"/>
              <w:rPr>
                <w:b/>
                <w:color w:val="262626"/>
                <w:sz w:val="20"/>
                <w:szCs w:val="20"/>
                <w:lang w:val="en-US"/>
              </w:rPr>
            </w:pPr>
            <w:r>
              <w:rPr>
                <w:b/>
                <w:color w:val="262626"/>
                <w:sz w:val="20"/>
                <w:szCs w:val="20"/>
                <w:lang w:val="en-US"/>
              </w:rPr>
              <w:t>REPUBLIC OF CAMEROON</w:t>
            </w:r>
          </w:p>
          <w:p>
            <w:pPr>
              <w:pStyle w:val="3"/>
              <w:keepLines/>
              <w:jc w:val="center"/>
              <w:rPr>
                <w:b/>
                <w:color w:val="262626"/>
                <w:sz w:val="20"/>
                <w:szCs w:val="20"/>
                <w:lang w:val="en-US"/>
              </w:rPr>
            </w:pPr>
            <w:r>
              <w:rPr>
                <w:b/>
                <w:color w:val="262626"/>
                <w:sz w:val="20"/>
                <w:szCs w:val="20"/>
                <w:lang w:val="en-US"/>
              </w:rPr>
              <w:t>Peace – Work – Fatherland</w:t>
            </w:r>
          </w:p>
          <w:p>
            <w:pPr>
              <w:pStyle w:val="3"/>
              <w:jc w:val="center"/>
              <w:rPr>
                <w:b/>
                <w:color w:val="262626"/>
                <w:sz w:val="20"/>
                <w:szCs w:val="20"/>
                <w:lang w:val="en-US"/>
              </w:rPr>
            </w:pPr>
            <w:r>
              <w:rPr>
                <w:b/>
                <w:color w:val="262626"/>
                <w:sz w:val="20"/>
                <w:szCs w:val="20"/>
                <w:lang w:val="en-US"/>
              </w:rPr>
              <w:t>--------------------</w:t>
            </w:r>
          </w:p>
          <w:p>
            <w:pPr>
              <w:pStyle w:val="3"/>
              <w:keepLines/>
              <w:jc w:val="center"/>
              <w:rPr>
                <w:color w:val="262626"/>
                <w:sz w:val="20"/>
                <w:szCs w:val="20"/>
                <w:lang w:val="en-US"/>
              </w:rPr>
            </w:pPr>
            <w:r>
              <w:rPr>
                <w:color w:val="262626"/>
                <w:sz w:val="20"/>
                <w:szCs w:val="20"/>
                <w:lang w:val="en-US"/>
              </w:rPr>
              <w:t>SOUTH REGION</w:t>
            </w:r>
          </w:p>
          <w:p>
            <w:pPr>
              <w:pStyle w:val="3"/>
              <w:jc w:val="center"/>
              <w:rPr>
                <w:color w:val="262626"/>
                <w:sz w:val="20"/>
                <w:szCs w:val="20"/>
                <w:lang w:val="en-US"/>
              </w:rPr>
            </w:pPr>
            <w:r>
              <w:rPr>
                <w:color w:val="262626"/>
                <w:sz w:val="20"/>
                <w:szCs w:val="20"/>
                <w:lang w:val="en-US"/>
              </w:rPr>
              <w:t>--------------------</w:t>
            </w:r>
          </w:p>
          <w:p>
            <w:pPr>
              <w:pStyle w:val="3"/>
              <w:keepLines/>
              <w:ind w:right="-250"/>
              <w:jc w:val="center"/>
              <w:rPr>
                <w:color w:val="262626"/>
                <w:sz w:val="20"/>
                <w:szCs w:val="20"/>
                <w:lang w:val="en-US"/>
              </w:rPr>
            </w:pPr>
            <w:r>
              <w:rPr>
                <w:color w:val="262626"/>
                <w:sz w:val="20"/>
                <w:szCs w:val="20"/>
                <w:lang w:val="en-US"/>
              </w:rPr>
              <w:t>MVILA DIVISION</w:t>
            </w:r>
          </w:p>
          <w:p>
            <w:pPr>
              <w:pStyle w:val="3"/>
              <w:jc w:val="center"/>
              <w:rPr>
                <w:color w:val="262626"/>
                <w:sz w:val="20"/>
                <w:szCs w:val="20"/>
                <w:lang w:val="en-US"/>
              </w:rPr>
            </w:pPr>
            <w:r>
              <w:rPr>
                <w:color w:val="262626"/>
                <w:sz w:val="20"/>
                <w:szCs w:val="20"/>
                <w:lang w:val="en-US"/>
              </w:rPr>
              <w:t>--------------------</w:t>
            </w:r>
          </w:p>
          <w:p>
            <w:pPr>
              <w:pStyle w:val="3"/>
              <w:keepLines/>
              <w:jc w:val="center"/>
              <w:rPr>
                <w:color w:val="262626"/>
                <w:sz w:val="20"/>
                <w:szCs w:val="20"/>
                <w:lang w:val="en-US"/>
              </w:rPr>
            </w:pPr>
            <w:r>
              <w:rPr>
                <w:color w:val="262626"/>
                <w:sz w:val="20"/>
                <w:szCs w:val="20"/>
                <w:lang w:val="en-US"/>
              </w:rPr>
              <w:t>BIWONG BULU COUNCIL</w:t>
            </w:r>
          </w:p>
          <w:p>
            <w:pPr>
              <w:pStyle w:val="3"/>
              <w:jc w:val="center"/>
              <w:rPr>
                <w:color w:val="262626"/>
                <w:sz w:val="20"/>
                <w:szCs w:val="20"/>
              </w:rPr>
            </w:pPr>
            <w:r>
              <w:rPr>
                <w:color w:val="262626"/>
                <w:sz w:val="20"/>
                <w:szCs w:val="20"/>
              </w:rPr>
              <w:t>-----------------</w:t>
            </w:r>
          </w:p>
          <w:p>
            <w:pPr>
              <w:pStyle w:val="3"/>
              <w:jc w:val="center"/>
              <w:rPr>
                <w:sz w:val="20"/>
                <w:szCs w:val="20"/>
              </w:rPr>
            </w:pPr>
            <w:r>
              <w:rPr>
                <w:sz w:val="20"/>
                <w:szCs w:val="20"/>
              </w:rPr>
              <w:t>INTERNAL PUBLICS TENDERS BOARD</w:t>
            </w:r>
          </w:p>
        </w:tc>
      </w:tr>
    </w:tbl>
    <w:p>
      <w:pPr>
        <w:pStyle w:val="3"/>
        <w:widowControl w:val="0"/>
        <w:spacing w:line="360" w:lineRule="auto"/>
        <w:rPr>
          <w:b/>
          <w:i/>
          <w:smallCaps/>
        </w:rPr>
      </w:pPr>
    </w:p>
    <w:p>
      <w:pPr>
        <w:pStyle w:val="3"/>
        <w:ind w:left="114" w:right="172"/>
        <w:jc w:val="center"/>
        <w:rPr>
          <w:rFonts w:ascii="Arial Narrow" w:hAnsi="Arial Narrow" w:eastAsia="Arial Narrow" w:cs="Arial Narrow"/>
          <w:b/>
          <w:color w:val="000000"/>
          <w:sz w:val="32"/>
          <w:szCs w:val="32"/>
        </w:rPr>
      </w:pPr>
      <w:r>
        <w:rPr>
          <w:rFonts w:ascii="Arial Narrow" w:hAnsi="Arial Narrow" w:eastAsia="Arial Narrow" w:cs="Arial Narrow"/>
          <w:b/>
          <w:color w:val="000000"/>
          <w:sz w:val="32"/>
          <w:szCs w:val="32"/>
        </w:rPr>
        <w:t>COMMISSION INTERNE DE PASSATION DES MARCHES</w:t>
      </w:r>
    </w:p>
    <w:p>
      <w:pPr>
        <w:pStyle w:val="3"/>
        <w:ind w:left="114" w:right="172"/>
        <w:jc w:val="center"/>
        <w:rPr>
          <w:rFonts w:ascii="Arial Narrow" w:hAnsi="Arial Narrow" w:eastAsia="Arial Narrow" w:cs="Arial Narrow"/>
          <w:b/>
          <w:color w:val="000000"/>
          <w:sz w:val="32"/>
          <w:szCs w:val="32"/>
        </w:rPr>
      </w:pPr>
      <w:r>
        <w:rPr>
          <w:rFonts w:ascii="Arial Narrow" w:hAnsi="Arial Narrow" w:eastAsia="Arial Narrow" w:cs="Arial Narrow"/>
          <w:b/>
          <w:color w:val="000000"/>
          <w:sz w:val="32"/>
          <w:szCs w:val="32"/>
        </w:rPr>
        <w:t>MAITRE D’OUVRAGE :   MAIRE DE LA COMMUNE DE BIWONG BULU</w:t>
      </w:r>
    </w:p>
    <w:p>
      <w:pPr>
        <w:pStyle w:val="3"/>
        <w:spacing w:line="360" w:lineRule="auto"/>
        <w:rPr>
          <w:b/>
          <w:sz w:val="20"/>
          <w:szCs w:val="20"/>
        </w:rPr>
      </w:pPr>
    </w:p>
    <w:tbl>
      <w:tblPr>
        <w:tblStyle w:val="25"/>
        <w:tblW w:w="8852" w:type="dxa"/>
        <w:jc w:val="center"/>
        <w:tblInd w:w="0" w:type="dxa"/>
        <w:tblLayout w:type="fixed"/>
        <w:tblCellMar>
          <w:top w:w="0" w:type="dxa"/>
          <w:left w:w="0" w:type="dxa"/>
          <w:bottom w:w="0" w:type="dxa"/>
          <w:right w:w="0" w:type="dxa"/>
        </w:tblCellMar>
      </w:tblPr>
      <w:tblGrid>
        <w:gridCol w:w="8852"/>
      </w:tblGrid>
      <w:tr>
        <w:tblPrEx>
          <w:tblLayout w:type="fixed"/>
        </w:tblPrEx>
        <w:trPr>
          <w:cantSplit/>
          <w:tblHeader/>
          <w:jc w:val="center"/>
        </w:trPr>
        <w:tc>
          <w:tcPr>
            <w:tcW w:w="8852" w:type="dxa"/>
            <w:tcBorders>
              <w:top w:val="single" w:color="000000" w:sz="24" w:space="0"/>
              <w:left w:val="single" w:color="000000" w:sz="24" w:space="0"/>
              <w:bottom w:val="single" w:color="000000" w:sz="24" w:space="0"/>
              <w:right w:val="single" w:color="000000" w:sz="24" w:space="0"/>
            </w:tcBorders>
            <w:shd w:val="clear" w:color="auto" w:fill="auto"/>
            <w:tcMar>
              <w:top w:w="0" w:type="dxa"/>
              <w:left w:w="70" w:type="dxa"/>
              <w:bottom w:w="0" w:type="dxa"/>
              <w:right w:w="70" w:type="dxa"/>
            </w:tcMar>
          </w:tcPr>
          <w:p>
            <w:pPr>
              <w:pStyle w:val="3"/>
              <w:widowControl w:val="0"/>
              <w:spacing w:before="61" w:line="360" w:lineRule="auto"/>
              <w:ind w:left="285" w:right="-20"/>
              <w:jc w:val="center"/>
              <w:rPr>
                <w:b/>
                <w:color w:val="FF0000"/>
                <w:sz w:val="20"/>
                <w:szCs w:val="20"/>
              </w:rPr>
            </w:pPr>
            <w:r>
              <w:rPr>
                <w:b/>
                <w:color w:val="FF0000"/>
              </w:rPr>
              <w:t>DOSSIER D’APPEL D’OFFRES NATIONAL OUVERT EN PROCEDURE D’URGENCE N° 010(bis) /AONO/PU/C-BBU/SG/SIGAMP/CIPM/2025 DU</w:t>
            </w:r>
          </w:p>
          <w:p>
            <w:pPr>
              <w:pStyle w:val="3"/>
              <w:widowControl w:val="0"/>
              <w:spacing w:before="61" w:line="360" w:lineRule="auto"/>
              <w:ind w:left="285" w:right="-20"/>
              <w:jc w:val="center"/>
              <w:rPr>
                <w:b/>
                <w:color w:val="FF0000"/>
                <w:sz w:val="20"/>
                <w:szCs w:val="20"/>
              </w:rPr>
            </w:pPr>
            <w:r>
              <w:rPr>
                <w:b/>
                <w:color w:val="FF0000"/>
                <w:lang w:val="fr-FR"/>
              </w:rPr>
              <w:t>09/05</w:t>
            </w:r>
            <w:r>
              <w:rPr>
                <w:b/>
                <w:color w:val="FF0000"/>
              </w:rPr>
              <w:t>/</w:t>
            </w:r>
            <w:r>
              <w:rPr>
                <w:b/>
                <w:color w:val="FF0000"/>
                <w:u w:val="single"/>
              </w:rPr>
              <w:t>2025</w:t>
            </w:r>
            <w:r>
              <w:rPr>
                <w:b/>
                <w:color w:val="FF0000"/>
              </w:rPr>
              <w:t xml:space="preserve"> RELATIF AUX TRAVAUX D’ACHEVEMENT DU CSI D’EMINEMVOM 1I DANS LA COMMUNE DE BIWONG BULU, DEPARTEMENT DE LA MVILA, REGION DU SUD.  </w:t>
            </w:r>
          </w:p>
        </w:tc>
      </w:tr>
    </w:tbl>
    <w:p>
      <w:pPr>
        <w:pStyle w:val="3"/>
        <w:spacing w:line="360" w:lineRule="auto"/>
        <w:jc w:val="center"/>
        <w:rPr>
          <w:b/>
          <w:color w:val="FF0000"/>
          <w:sz w:val="20"/>
          <w:szCs w:val="20"/>
        </w:rPr>
      </w:pPr>
    </w:p>
    <w:p>
      <w:pPr>
        <w:pStyle w:val="3"/>
        <w:spacing w:line="360" w:lineRule="auto"/>
        <w:jc w:val="center"/>
        <w:rPr>
          <w:b/>
          <w:sz w:val="20"/>
          <w:szCs w:val="20"/>
        </w:rPr>
      </w:pPr>
      <w:r>
        <w:rPr>
          <w:b/>
        </w:rPr>
        <w:t>FINANCEMENT : BIP MINDDEVEL</w:t>
      </w:r>
    </w:p>
    <w:p>
      <w:pPr>
        <w:pStyle w:val="3"/>
        <w:spacing w:line="360" w:lineRule="auto"/>
        <w:jc w:val="center"/>
        <w:rPr>
          <w:b/>
          <w:sz w:val="20"/>
          <w:szCs w:val="20"/>
        </w:rPr>
      </w:pPr>
      <w:r>
        <w:rPr>
          <w:b/>
        </w:rPr>
        <w:t xml:space="preserve">IMPUTATION : </w:t>
      </w:r>
      <w:r>
        <w:rPr>
          <w:b/>
          <w:sz w:val="20"/>
          <w:szCs w:val="20"/>
        </w:rPr>
        <w:t>JAO4401-59 30 186 641811 523313</w:t>
      </w:r>
    </w:p>
    <w:p>
      <w:pPr>
        <w:pStyle w:val="3"/>
        <w:spacing w:line="360" w:lineRule="auto"/>
        <w:jc w:val="center"/>
        <w:rPr>
          <w:b/>
          <w:i/>
          <w:smallCaps/>
        </w:rPr>
      </w:pPr>
      <w:r>
        <w:rPr>
          <w:b/>
          <w:i/>
          <w:smallCaps/>
        </w:rPr>
        <mc:AlternateContent>
          <mc:Choice Requires="wps">
            <w:drawing>
              <wp:anchor distT="0" distB="0" distL="114300" distR="114300" simplePos="0" relativeHeight="251654144" behindDoc="0" locked="0" layoutInCell="1" allowOverlap="1">
                <wp:simplePos x="0" y="0"/>
                <wp:positionH relativeFrom="column">
                  <wp:posOffset>979805</wp:posOffset>
                </wp:positionH>
                <wp:positionV relativeFrom="paragraph">
                  <wp:posOffset>44450</wp:posOffset>
                </wp:positionV>
                <wp:extent cx="4572000" cy="12700"/>
                <wp:effectExtent l="0" t="0" r="0" b="0"/>
                <wp:wrapNone/>
                <wp:docPr id="10" name="Connecteur droit avec flèche 10"/>
                <wp:cNvGraphicFramePr/>
                <a:graphic xmlns:a="http://schemas.openxmlformats.org/drawingml/2006/main">
                  <a:graphicData uri="http://schemas.microsoft.com/office/word/2010/wordprocessingShape">
                    <wps:wsp>
                      <wps:cNvCnPr/>
                      <wps:spPr>
                        <a:xfrm>
                          <a:off x="0" y="0"/>
                          <a:ext cx="4572000" cy="0"/>
                        </a:xfrm>
                        <a:prstGeom prst="straightConnector1">
                          <a:avLst/>
                        </a:prstGeom>
                        <a:noFill/>
                        <a:ln w="9528">
                          <a:solidFill>
                            <a:srgbClr val="000000"/>
                          </a:solidFill>
                          <a:prstDash val="solid"/>
                          <a:round/>
                        </a:ln>
                      </wps:spPr>
                      <wps:bodyPr/>
                    </wps:wsp>
                  </a:graphicData>
                </a:graphic>
              </wp:anchor>
            </w:drawing>
          </mc:Choice>
          <mc:Fallback>
            <w:pict>
              <v:shape id="_x0000_s1026" o:spid="_x0000_s1026" o:spt="32" type="#_x0000_t32" style="position:absolute;left:0pt;margin-left:77.15pt;margin-top:3.5pt;height:1pt;width:360pt;z-index:251654144;mso-width-relative:page;mso-height-relative:page;" filled="f" stroked="t" coordsize="21600,21600" o:gfxdata="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kMq/F&#10;1wAAAAcBAAAPAAAAAAAAAAEAIAAAACIAAABkcnMvZG93bnJldi54bWxQSwECFAAUAAAACACHTuJA&#10;D07tzbABAABTAwAADgAAAAAAAAABACAAAAAmAQAAZHJzL2Uyb0RvYy54bWxQSwUGAAAAAAYABgBZ&#10;AQAASAUAAAAA&#10;">
                <v:fill on="f" focussize="0,0"/>
                <v:stroke weight="0.750236220472441pt" color="#000000" joinstyle="round"/>
                <v:imagedata o:title=""/>
                <o:lock v:ext="edit" aspectratio="f"/>
              </v:shape>
            </w:pict>
          </mc:Fallback>
        </mc:AlternateContent>
      </w:r>
    </w:p>
    <w:p>
      <w:pPr>
        <w:pStyle w:val="3"/>
        <w:spacing w:line="360" w:lineRule="auto"/>
        <w:jc w:val="center"/>
        <w:rPr>
          <w:b/>
          <w:sz w:val="20"/>
          <w:szCs w:val="20"/>
        </w:rPr>
      </w:pPr>
      <w:r>
        <w:rPr>
          <w:b/>
        </w:rPr>
        <w:t>EXERCICE 2025</w:t>
      </w:r>
    </w:p>
    <w:p>
      <w:pPr>
        <w:pStyle w:val="3"/>
        <w:spacing w:line="360" w:lineRule="auto"/>
        <w:jc w:val="center"/>
        <w:rPr>
          <w:b/>
          <w:i/>
          <w:smallCaps/>
        </w:rPr>
      </w:pPr>
      <w:r>
        <w:rPr>
          <w:b/>
          <w:i/>
          <w:smallCaps/>
        </w:rPr>
        <mc:AlternateContent>
          <mc:Choice Requires="wps">
            <w:drawing>
              <wp:anchor distT="0" distB="0" distL="114300" distR="114300" simplePos="0" relativeHeight="251655168" behindDoc="0" locked="0" layoutInCell="1" allowOverlap="1">
                <wp:simplePos x="0" y="0"/>
                <wp:positionH relativeFrom="column">
                  <wp:posOffset>979805</wp:posOffset>
                </wp:positionH>
                <wp:positionV relativeFrom="paragraph">
                  <wp:posOffset>12065</wp:posOffset>
                </wp:positionV>
                <wp:extent cx="4572000" cy="12700"/>
                <wp:effectExtent l="0" t="0" r="0" b="0"/>
                <wp:wrapNone/>
                <wp:docPr id="1" name="Connecteur droit avec flèche 1"/>
                <wp:cNvGraphicFramePr/>
                <a:graphic xmlns:a="http://schemas.openxmlformats.org/drawingml/2006/main">
                  <a:graphicData uri="http://schemas.microsoft.com/office/word/2010/wordprocessingShape">
                    <wps:wsp>
                      <wps:cNvCnPr/>
                      <wps:spPr>
                        <a:xfrm>
                          <a:off x="0" y="0"/>
                          <a:ext cx="4572000" cy="0"/>
                        </a:xfrm>
                        <a:prstGeom prst="straightConnector1">
                          <a:avLst/>
                        </a:prstGeom>
                        <a:noFill/>
                        <a:ln w="9528">
                          <a:solidFill>
                            <a:srgbClr val="000000"/>
                          </a:solidFill>
                          <a:prstDash val="solid"/>
                          <a:round/>
                        </a:ln>
                      </wps:spPr>
                      <wps:bodyPr/>
                    </wps:wsp>
                  </a:graphicData>
                </a:graphic>
              </wp:anchor>
            </w:drawing>
          </mc:Choice>
          <mc:Fallback>
            <w:pict>
              <v:shape id="_x0000_s1026" o:spid="_x0000_s1026" o:spt="32" type="#_x0000_t32" style="position:absolute;left:0pt;margin-left:77.15pt;margin-top:0.95pt;height:1pt;width:360pt;z-index:251655168;mso-width-relative:page;mso-height-relative:page;" filled="f" stroked="t" coordsize="21600,21600" o:gfxdata="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O4oDX&#10;AAAABwEAAA8AAAAAAAAAAQAgAAAAIgAAAGRycy9kb3ducmV2LnhtbFBLAQIUABQAAAAIAIdO4kAe&#10;minrrwEAAFEDAAAOAAAAAAAAAAEAIAAAACYBAABkcnMvZTJvRG9jLnhtbFBLBQYAAAAABgAGAFkB&#10;AABHBQAAAAAA&#10;">
                <v:fill on="f" focussize="0,0"/>
                <v:stroke weight="0.750236220472441pt" color="#000000" joinstyle="round"/>
                <v:imagedata o:title=""/>
                <o:lock v:ext="edit" aspectratio="f"/>
              </v:shape>
            </w:pict>
          </mc:Fallback>
        </mc:AlternateContent>
      </w:r>
    </w:p>
    <w:p>
      <w:pPr>
        <w:pStyle w:val="3"/>
        <w:widowControl w:val="0"/>
        <w:spacing w:line="360" w:lineRule="auto"/>
        <w:jc w:val="center"/>
        <w:rPr>
          <w:b/>
          <w:sz w:val="32"/>
          <w:szCs w:val="32"/>
        </w:rPr>
      </w:pPr>
      <w:r>
        <w:rPr>
          <w:b/>
          <w:sz w:val="32"/>
          <w:szCs w:val="32"/>
        </w:rPr>
        <w:t xml:space="preserve">DOSSIER D’APPEL D’OFFRES </w:t>
      </w:r>
    </w:p>
    <w:p>
      <w:pPr>
        <w:pStyle w:val="3"/>
        <w:widowControl w:val="0"/>
        <w:spacing w:line="360" w:lineRule="auto"/>
        <w:rPr>
          <w:b/>
          <w:sz w:val="20"/>
          <w:szCs w:val="20"/>
        </w:rPr>
      </w:pPr>
    </w:p>
    <w:p>
      <w:pPr>
        <w:pStyle w:val="3"/>
        <w:widowControl w:val="0"/>
        <w:spacing w:before="120" w:line="360" w:lineRule="auto"/>
        <w:jc w:val="center"/>
        <w:rPr>
          <w:b/>
          <w:sz w:val="28"/>
          <w:szCs w:val="28"/>
        </w:rPr>
      </w:pPr>
      <w:r>
        <w:rPr>
          <w:b/>
          <w:sz w:val="28"/>
          <w:szCs w:val="28"/>
        </w:rPr>
        <w:t>Mars 2025</w:t>
      </w:r>
    </w:p>
    <w:p>
      <w:pPr>
        <w:pStyle w:val="3"/>
        <w:widowControl w:val="0"/>
        <w:spacing w:before="240" w:after="240" w:line="360" w:lineRule="auto"/>
        <w:ind w:right="-6"/>
        <w:jc w:val="center"/>
        <w:rPr>
          <w:b/>
          <w:smallCaps/>
          <w:sz w:val="32"/>
          <w:szCs w:val="32"/>
        </w:rPr>
      </w:pPr>
      <w:r>
        <w:rPr>
          <w:b/>
          <w:smallCaps/>
          <w:sz w:val="32"/>
          <w:szCs w:val="32"/>
          <w:shd w:val="clear" w:color="auto" w:fill="D9D9D9"/>
        </w:rPr>
        <w:t xml:space="preserve">TABLE DES SIGLES </w:t>
      </w:r>
    </w:p>
    <w:p>
      <w:pPr>
        <w:pStyle w:val="3"/>
        <w:widowControl w:val="0"/>
        <w:spacing w:after="60" w:line="360" w:lineRule="auto"/>
        <w:ind w:right="-7"/>
        <w:rPr>
          <w:sz w:val="20"/>
          <w:szCs w:val="20"/>
        </w:rPr>
      </w:pPr>
      <w:r>
        <w:t>ARMP : Agence de Régulation des Marchés Publics</w:t>
      </w:r>
    </w:p>
    <w:p>
      <w:pPr>
        <w:pStyle w:val="3"/>
        <w:widowControl w:val="0"/>
        <w:spacing w:after="60" w:line="360" w:lineRule="auto"/>
        <w:ind w:right="-7"/>
        <w:rPr>
          <w:sz w:val="20"/>
          <w:szCs w:val="20"/>
        </w:rPr>
      </w:pPr>
      <w:r>
        <w:t>BPU : Bordereau des Prix Unitaires</w:t>
      </w:r>
    </w:p>
    <w:p>
      <w:pPr>
        <w:pStyle w:val="3"/>
        <w:widowControl w:val="0"/>
        <w:spacing w:after="60" w:line="360" w:lineRule="auto"/>
        <w:ind w:right="-7"/>
        <w:rPr>
          <w:sz w:val="20"/>
          <w:szCs w:val="20"/>
        </w:rPr>
      </w:pPr>
      <w:r>
        <w:t>DQE : Devis Quantitatif et Estimatif</w:t>
      </w:r>
    </w:p>
    <w:p>
      <w:pPr>
        <w:pStyle w:val="3"/>
        <w:widowControl w:val="0"/>
        <w:spacing w:after="60" w:line="360" w:lineRule="auto"/>
        <w:ind w:right="-7"/>
        <w:rPr>
          <w:sz w:val="20"/>
          <w:szCs w:val="20"/>
        </w:rPr>
      </w:pPr>
      <w:r>
        <w:t>MINMAP : Ministère des Marchés Publics</w:t>
      </w:r>
    </w:p>
    <w:p>
      <w:pPr>
        <w:pStyle w:val="3"/>
        <w:widowControl w:val="0"/>
        <w:spacing w:after="60" w:line="360" w:lineRule="auto"/>
        <w:ind w:right="-7"/>
        <w:rPr>
          <w:sz w:val="20"/>
          <w:szCs w:val="20"/>
        </w:rPr>
      </w:pPr>
      <w:r>
        <w:t>MO/MOD : Maître d’Ouvrage/Maître d’Ouvrage Délégué</w:t>
      </w:r>
    </w:p>
    <w:p>
      <w:pPr>
        <w:pStyle w:val="3"/>
        <w:widowControl w:val="0"/>
        <w:spacing w:after="60" w:line="360" w:lineRule="auto"/>
        <w:ind w:right="-7"/>
        <w:rPr>
          <w:sz w:val="20"/>
          <w:szCs w:val="20"/>
        </w:rPr>
      </w:pPr>
      <w:r>
        <w:t>SDPU : Sous-Détail des Prix Unitaires</w:t>
      </w:r>
    </w:p>
    <w:p>
      <w:pPr>
        <w:pStyle w:val="3"/>
        <w:widowControl w:val="0"/>
        <w:spacing w:after="60" w:line="360" w:lineRule="auto"/>
        <w:ind w:right="-7"/>
        <w:rPr>
          <w:sz w:val="20"/>
          <w:szCs w:val="20"/>
        </w:rPr>
      </w:pPr>
      <w:r>
        <w:t>CIPM : Commission Interne de Passation des Marchés</w:t>
      </w:r>
    </w:p>
    <w:p>
      <w:pPr>
        <w:pStyle w:val="3"/>
        <w:widowControl w:val="0"/>
        <w:spacing w:after="60" w:line="360" w:lineRule="auto"/>
        <w:ind w:right="-7"/>
        <w:rPr>
          <w:sz w:val="20"/>
          <w:szCs w:val="20"/>
        </w:rPr>
      </w:pPr>
      <w:r>
        <w:t>CCCM : Commission Centrale de Contrôles des Marchés Publics</w:t>
      </w:r>
    </w:p>
    <w:p>
      <w:pPr>
        <w:pStyle w:val="3"/>
        <w:widowControl w:val="0"/>
        <w:spacing w:after="60" w:line="360" w:lineRule="auto"/>
        <w:ind w:right="-7"/>
        <w:rPr>
          <w:sz w:val="20"/>
          <w:szCs w:val="20"/>
        </w:rPr>
      </w:pPr>
      <w:r>
        <w:t>CSPM : Commission Spéciale de Passation de Marchés Publics</w:t>
      </w:r>
    </w:p>
    <w:p>
      <w:pPr>
        <w:pStyle w:val="3"/>
        <w:widowControl w:val="0"/>
        <w:spacing w:after="60" w:line="360" w:lineRule="auto"/>
        <w:ind w:right="-7"/>
        <w:rPr>
          <w:sz w:val="20"/>
          <w:szCs w:val="20"/>
        </w:rPr>
      </w:pPr>
      <w:r>
        <w:t>CDPM : Commission Départementale de Passation des Marchés Publics</w:t>
      </w:r>
    </w:p>
    <w:p>
      <w:pPr>
        <w:pStyle w:val="3"/>
        <w:widowControl w:val="0"/>
        <w:spacing w:after="60" w:line="360" w:lineRule="auto"/>
        <w:ind w:left="720" w:right="-7" w:hanging="720"/>
        <w:rPr>
          <w:sz w:val="20"/>
          <w:szCs w:val="20"/>
        </w:rPr>
      </w:pPr>
      <w:r>
        <w:t>DTAO : Dossier Type d’Appel d’Offres</w:t>
      </w:r>
    </w:p>
    <w:p>
      <w:pPr>
        <w:pStyle w:val="3"/>
        <w:widowControl w:val="0"/>
        <w:spacing w:after="60" w:line="360" w:lineRule="auto"/>
        <w:ind w:right="-7"/>
        <w:rPr>
          <w:sz w:val="20"/>
          <w:szCs w:val="20"/>
        </w:rPr>
      </w:pPr>
      <w:r>
        <w:t>DAO : Dossier d’Appels d’Offres</w:t>
      </w: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rPr>
          <w:b/>
          <w:smallCaps/>
          <w:color w:val="000000"/>
          <w:sz w:val="32"/>
          <w:szCs w:val="32"/>
        </w:rPr>
      </w:pPr>
    </w:p>
    <w:p>
      <w:pPr>
        <w:pStyle w:val="3"/>
        <w:widowControl w:val="0"/>
        <w:spacing w:line="360" w:lineRule="auto"/>
        <w:jc w:val="center"/>
        <w:rPr>
          <w:b/>
          <w:smallCaps/>
          <w:color w:val="000000"/>
          <w:sz w:val="32"/>
          <w:szCs w:val="32"/>
        </w:rPr>
      </w:pPr>
      <w:r>
        <w:rPr>
          <w:b/>
          <w:smallCaps/>
          <w:color w:val="000000"/>
          <w:sz w:val="32"/>
          <w:szCs w:val="32"/>
        </w:rPr>
        <w:t>TABLES MATIERES</w:t>
      </w:r>
    </w:p>
    <w:p>
      <w:pPr>
        <w:pStyle w:val="3"/>
        <w:widowControl w:val="0"/>
        <w:spacing w:line="360" w:lineRule="auto"/>
        <w:jc w:val="center"/>
        <w:rPr>
          <w:b/>
          <w:i/>
          <w:smallCaps/>
        </w:rPr>
      </w:pPr>
    </w:p>
    <w:p>
      <w:pPr>
        <w:pStyle w:val="3"/>
        <w:widowControl w:val="0"/>
        <w:spacing w:line="360" w:lineRule="auto"/>
        <w:jc w:val="both"/>
        <w:rPr>
          <w:i/>
          <w:sz w:val="20"/>
          <w:szCs w:val="20"/>
        </w:rPr>
      </w:pPr>
      <w:r>
        <w:rPr>
          <w:i/>
        </w:rPr>
        <w:t>Pièce N°0.</w:t>
      </w:r>
      <w:r>
        <w:rPr>
          <w:i/>
        </w:rPr>
        <w:tab/>
      </w:r>
      <w:r>
        <w:rPr>
          <w:i/>
        </w:rPr>
        <w:t>Lettre d’invitation à soumissionner (le cas échéant)</w:t>
      </w:r>
    </w:p>
    <w:p>
      <w:pPr>
        <w:pStyle w:val="3"/>
        <w:widowControl w:val="0"/>
        <w:spacing w:line="360" w:lineRule="auto"/>
        <w:jc w:val="both"/>
        <w:rPr>
          <w:i/>
          <w:sz w:val="20"/>
          <w:szCs w:val="20"/>
        </w:rPr>
      </w:pPr>
      <w:r>
        <w:rPr>
          <w:i/>
        </w:rPr>
        <w:t>Pièce N°1.</w:t>
      </w:r>
      <w:r>
        <w:rPr>
          <w:i/>
        </w:rPr>
        <w:tab/>
      </w:r>
      <w:r>
        <w:rPr>
          <w:i/>
        </w:rPr>
        <w:t>Avis d'Appel d'Offres (AAO)</w:t>
      </w:r>
    </w:p>
    <w:p>
      <w:pPr>
        <w:pStyle w:val="3"/>
        <w:widowControl w:val="0"/>
        <w:spacing w:line="360" w:lineRule="auto"/>
        <w:jc w:val="both"/>
        <w:rPr>
          <w:i/>
          <w:sz w:val="20"/>
          <w:szCs w:val="20"/>
        </w:rPr>
      </w:pPr>
      <w:r>
        <w:rPr>
          <w:i/>
        </w:rPr>
        <w:t>Pièce N°2.</w:t>
      </w:r>
      <w:r>
        <w:rPr>
          <w:i/>
        </w:rPr>
        <w:tab/>
      </w:r>
      <w:r>
        <w:rPr>
          <w:i/>
        </w:rPr>
        <w:t>Règlement Général de l'Appel d'Offres (RGAO)</w:t>
      </w:r>
    </w:p>
    <w:p>
      <w:pPr>
        <w:pStyle w:val="3"/>
        <w:widowControl w:val="0"/>
        <w:spacing w:line="360" w:lineRule="auto"/>
        <w:jc w:val="both"/>
        <w:rPr>
          <w:i/>
          <w:sz w:val="20"/>
          <w:szCs w:val="20"/>
        </w:rPr>
      </w:pPr>
      <w:r>
        <w:rPr>
          <w:i/>
        </w:rPr>
        <w:t>Pièce N°3.</w:t>
      </w:r>
      <w:r>
        <w:rPr>
          <w:i/>
        </w:rPr>
        <w:tab/>
      </w:r>
      <w:r>
        <w:rPr>
          <w:i/>
        </w:rPr>
        <w:t>Règlement Particulier de l’Appel d’Offres (RPAO)</w:t>
      </w:r>
    </w:p>
    <w:p>
      <w:pPr>
        <w:pStyle w:val="3"/>
        <w:widowControl w:val="0"/>
        <w:spacing w:line="360" w:lineRule="auto"/>
        <w:jc w:val="both"/>
        <w:rPr>
          <w:i/>
          <w:sz w:val="20"/>
          <w:szCs w:val="20"/>
        </w:rPr>
      </w:pPr>
      <w:r>
        <w:rPr>
          <w:i/>
        </w:rPr>
        <w:t>Pièce N°4.</w:t>
      </w:r>
      <w:r>
        <w:rPr>
          <w:i/>
        </w:rPr>
        <w:tab/>
      </w:r>
      <w:r>
        <w:rPr>
          <w:i/>
        </w:rPr>
        <w:t>Cahier des Clauses Administratives Particulières (CCAP)</w:t>
      </w:r>
    </w:p>
    <w:p>
      <w:pPr>
        <w:pStyle w:val="3"/>
        <w:widowControl w:val="0"/>
        <w:spacing w:line="360" w:lineRule="auto"/>
        <w:jc w:val="both"/>
        <w:rPr>
          <w:i/>
          <w:sz w:val="20"/>
          <w:szCs w:val="20"/>
        </w:rPr>
      </w:pPr>
      <w:r>
        <w:rPr>
          <w:i/>
        </w:rPr>
        <w:t>Pièce N°5.</w:t>
      </w:r>
      <w:r>
        <w:rPr>
          <w:i/>
        </w:rPr>
        <w:tab/>
      </w:r>
      <w:r>
        <w:rPr>
          <w:i/>
        </w:rPr>
        <w:t>Cahier des Clauses Techniques Particulières (CCTP)</w:t>
      </w:r>
    </w:p>
    <w:p>
      <w:pPr>
        <w:pStyle w:val="3"/>
        <w:widowControl w:val="0"/>
        <w:spacing w:line="360" w:lineRule="auto"/>
        <w:jc w:val="both"/>
        <w:rPr>
          <w:i/>
          <w:sz w:val="20"/>
          <w:szCs w:val="20"/>
        </w:rPr>
      </w:pPr>
      <w:r>
        <w:rPr>
          <w:i/>
        </w:rPr>
        <w:t>Pièce N°6.</w:t>
      </w:r>
      <w:r>
        <w:rPr>
          <w:i/>
        </w:rPr>
        <w:tab/>
      </w:r>
      <w:r>
        <w:rPr>
          <w:i/>
        </w:rPr>
        <w:t>Cadre du bordereau des prix unitaires</w:t>
      </w:r>
    </w:p>
    <w:p>
      <w:pPr>
        <w:pStyle w:val="3"/>
        <w:widowControl w:val="0"/>
        <w:spacing w:line="360" w:lineRule="auto"/>
        <w:jc w:val="both"/>
        <w:rPr>
          <w:i/>
          <w:sz w:val="20"/>
          <w:szCs w:val="20"/>
        </w:rPr>
      </w:pPr>
      <w:r>
        <w:rPr>
          <w:i/>
        </w:rPr>
        <w:t>Pièce N°7.</w:t>
      </w:r>
      <w:r>
        <w:rPr>
          <w:i/>
        </w:rPr>
        <w:tab/>
      </w:r>
      <w:r>
        <w:rPr>
          <w:i/>
        </w:rPr>
        <w:t>Cadre du détail quantitatif et estimatif</w:t>
      </w:r>
    </w:p>
    <w:p>
      <w:pPr>
        <w:pStyle w:val="3"/>
        <w:widowControl w:val="0"/>
        <w:spacing w:line="360" w:lineRule="auto"/>
        <w:jc w:val="both"/>
        <w:rPr>
          <w:i/>
          <w:sz w:val="20"/>
          <w:szCs w:val="20"/>
        </w:rPr>
      </w:pPr>
      <w:r>
        <w:rPr>
          <w:i/>
        </w:rPr>
        <w:t>Pièce N°8.</w:t>
      </w:r>
      <w:r>
        <w:rPr>
          <w:i/>
        </w:rPr>
        <w:tab/>
      </w:r>
      <w:r>
        <w:rPr>
          <w:i/>
        </w:rPr>
        <w:t>Cadre du sous-détail des prix</w:t>
      </w:r>
    </w:p>
    <w:p>
      <w:pPr>
        <w:pStyle w:val="3"/>
        <w:widowControl w:val="0"/>
        <w:spacing w:line="360" w:lineRule="auto"/>
        <w:jc w:val="both"/>
        <w:rPr>
          <w:i/>
          <w:sz w:val="20"/>
          <w:szCs w:val="20"/>
        </w:rPr>
      </w:pPr>
      <w:r>
        <w:rPr>
          <w:i/>
        </w:rPr>
        <w:t>Pièce N°9.</w:t>
      </w:r>
      <w:r>
        <w:rPr>
          <w:i/>
        </w:rPr>
        <w:tab/>
      </w:r>
      <w:r>
        <w:rPr>
          <w:i/>
        </w:rPr>
        <w:t>Modèle de marché</w:t>
      </w:r>
    </w:p>
    <w:p>
      <w:pPr>
        <w:pStyle w:val="3"/>
        <w:widowControl w:val="0"/>
        <w:spacing w:line="360" w:lineRule="auto"/>
        <w:jc w:val="both"/>
        <w:rPr>
          <w:i/>
          <w:sz w:val="20"/>
          <w:szCs w:val="20"/>
        </w:rPr>
      </w:pPr>
      <w:r>
        <w:rPr>
          <w:i/>
        </w:rPr>
        <w:t>Pièce N°10.</w:t>
      </w:r>
      <w:r>
        <w:rPr>
          <w:i/>
        </w:rPr>
        <w:tab/>
      </w:r>
      <w:r>
        <w:rPr>
          <w:i/>
        </w:rPr>
        <w:t xml:space="preserve">Modèles ou formulaires types des pièces à utiliser par les Soumissionnaires  </w:t>
      </w:r>
    </w:p>
    <w:p>
      <w:pPr>
        <w:pStyle w:val="3"/>
        <w:widowControl w:val="0"/>
        <w:spacing w:line="360" w:lineRule="auto"/>
        <w:jc w:val="both"/>
        <w:rPr>
          <w:i/>
          <w:sz w:val="20"/>
          <w:szCs w:val="20"/>
        </w:rPr>
      </w:pPr>
      <w:r>
        <w:rPr>
          <w:i/>
        </w:rPr>
        <w:t xml:space="preserve">                          Annexe n° 1: Modèle Déclaration d’intention de soumissionner</w:t>
      </w:r>
    </w:p>
    <w:p>
      <w:pPr>
        <w:pStyle w:val="3"/>
        <w:widowControl w:val="0"/>
        <w:spacing w:line="360" w:lineRule="auto"/>
        <w:ind w:left="1440"/>
        <w:jc w:val="both"/>
        <w:rPr>
          <w:i/>
          <w:sz w:val="20"/>
          <w:szCs w:val="20"/>
        </w:rPr>
      </w:pPr>
      <w:r>
        <w:rPr>
          <w:i/>
        </w:rPr>
        <w:t>Annexe n° 2: Modèle de soumission</w:t>
      </w:r>
    </w:p>
    <w:p>
      <w:pPr>
        <w:pStyle w:val="3"/>
        <w:widowControl w:val="0"/>
        <w:spacing w:line="360" w:lineRule="auto"/>
        <w:ind w:left="1440"/>
        <w:jc w:val="both"/>
        <w:rPr>
          <w:i/>
          <w:sz w:val="20"/>
          <w:szCs w:val="20"/>
        </w:rPr>
      </w:pPr>
      <w:r>
        <w:rPr>
          <w:i/>
        </w:rPr>
        <w:t>Annexe n° 3: Modèle de caution de soumission</w:t>
      </w:r>
    </w:p>
    <w:p>
      <w:pPr>
        <w:pStyle w:val="3"/>
        <w:widowControl w:val="0"/>
        <w:spacing w:line="360" w:lineRule="auto"/>
        <w:ind w:left="1440"/>
        <w:jc w:val="both"/>
        <w:rPr>
          <w:i/>
          <w:sz w:val="20"/>
          <w:szCs w:val="20"/>
        </w:rPr>
      </w:pPr>
      <w:r>
        <w:rPr>
          <w:i/>
        </w:rPr>
        <w:t>Annexe n° 4: Modèle de cautionnement définitif</w:t>
      </w:r>
    </w:p>
    <w:p>
      <w:pPr>
        <w:pStyle w:val="3"/>
        <w:widowControl w:val="0"/>
        <w:spacing w:line="360" w:lineRule="auto"/>
        <w:ind w:left="1440"/>
        <w:jc w:val="both"/>
        <w:rPr>
          <w:i/>
          <w:sz w:val="20"/>
          <w:szCs w:val="20"/>
        </w:rPr>
      </w:pPr>
      <w:r>
        <w:rPr>
          <w:i/>
        </w:rPr>
        <w:t>Annexe n° 5: Modèle de caution d'avance de démarrage</w:t>
      </w:r>
    </w:p>
    <w:p>
      <w:pPr>
        <w:pStyle w:val="3"/>
        <w:widowControl w:val="0"/>
        <w:spacing w:line="360" w:lineRule="auto"/>
        <w:ind w:left="1440"/>
        <w:jc w:val="both"/>
        <w:rPr>
          <w:i/>
          <w:sz w:val="20"/>
          <w:szCs w:val="20"/>
        </w:rPr>
      </w:pPr>
      <w:r>
        <w:rPr>
          <w:i/>
        </w:rPr>
        <w:t xml:space="preserve">Annexe n°6 : Modèle de caution de bonne exécution (retenue de garantie) </w:t>
      </w:r>
    </w:p>
    <w:p>
      <w:pPr>
        <w:pStyle w:val="3"/>
        <w:widowControl w:val="0"/>
        <w:spacing w:line="360" w:lineRule="auto"/>
        <w:ind w:left="1440"/>
        <w:jc w:val="both"/>
        <w:rPr>
          <w:i/>
          <w:sz w:val="20"/>
          <w:szCs w:val="20"/>
        </w:rPr>
      </w:pPr>
      <w:r>
        <w:rPr>
          <w:i/>
        </w:rPr>
        <w:t>Annexe n°7 : Modèle de Lettre de soumission de la proposition technique</w:t>
      </w:r>
    </w:p>
    <w:p>
      <w:pPr>
        <w:pStyle w:val="3"/>
        <w:widowControl w:val="0"/>
        <w:spacing w:line="360" w:lineRule="auto"/>
        <w:ind w:left="1440"/>
        <w:jc w:val="both"/>
        <w:rPr>
          <w:i/>
          <w:sz w:val="20"/>
          <w:szCs w:val="20"/>
        </w:rPr>
      </w:pPr>
      <w:r>
        <w:rPr>
          <w:i/>
        </w:rPr>
        <w:t>Annexe n° 8: Modèle de Cadre du planning</w:t>
      </w:r>
    </w:p>
    <w:p>
      <w:pPr>
        <w:pStyle w:val="3"/>
        <w:widowControl w:val="0"/>
        <w:spacing w:line="360" w:lineRule="auto"/>
        <w:ind w:left="1440"/>
        <w:jc w:val="both"/>
        <w:rPr>
          <w:i/>
          <w:sz w:val="20"/>
          <w:szCs w:val="20"/>
        </w:rPr>
      </w:pPr>
      <w:r>
        <w:rPr>
          <w:i/>
        </w:rPr>
        <w:t>Annexe n° 9: Modèle de liste de personnels à mobiliser</w:t>
      </w:r>
    </w:p>
    <w:p>
      <w:pPr>
        <w:pStyle w:val="3"/>
        <w:widowControl w:val="0"/>
        <w:spacing w:line="360" w:lineRule="auto"/>
        <w:ind w:left="1440"/>
        <w:jc w:val="both"/>
        <w:rPr>
          <w:i/>
          <w:sz w:val="20"/>
          <w:szCs w:val="20"/>
        </w:rPr>
      </w:pPr>
      <w:r>
        <w:rPr>
          <w:i/>
        </w:rPr>
        <w:t>Annexe n° 10: Modèle de fiches de prestations susceptibles d'être sous traitées</w:t>
      </w:r>
    </w:p>
    <w:p>
      <w:pPr>
        <w:pStyle w:val="3"/>
        <w:widowControl w:val="0"/>
        <w:spacing w:line="360" w:lineRule="auto"/>
        <w:ind w:left="1440"/>
        <w:jc w:val="both"/>
        <w:rPr>
          <w:i/>
          <w:sz w:val="20"/>
          <w:szCs w:val="20"/>
        </w:rPr>
      </w:pPr>
      <w:r>
        <w:rPr>
          <w:i/>
        </w:rPr>
        <w:t>Annexe n° 11: Modèle de CV de personnels à mobiliser</w:t>
      </w:r>
    </w:p>
    <w:p>
      <w:pPr>
        <w:pStyle w:val="3"/>
        <w:widowControl w:val="0"/>
        <w:spacing w:line="360" w:lineRule="auto"/>
        <w:jc w:val="both"/>
        <w:rPr>
          <w:i/>
          <w:sz w:val="20"/>
          <w:szCs w:val="20"/>
        </w:rPr>
      </w:pPr>
      <w:bookmarkStart w:id="0" w:name="_30j0zll" w:colFirst="0" w:colLast="0"/>
      <w:bookmarkEnd w:id="0"/>
      <w:r>
        <w:rPr>
          <w:i/>
        </w:rPr>
        <w:t>Pièce N°11.</w:t>
      </w:r>
      <w:r>
        <w:rPr>
          <w:i/>
        </w:rPr>
        <w:tab/>
      </w:r>
      <w:r>
        <w:rPr>
          <w:i/>
        </w:rPr>
        <w:t>Le formulaire de la Charte d’Intégrité</w:t>
      </w:r>
    </w:p>
    <w:p>
      <w:pPr>
        <w:pStyle w:val="3"/>
        <w:widowControl w:val="0"/>
        <w:spacing w:line="360" w:lineRule="auto"/>
        <w:jc w:val="both"/>
        <w:rPr>
          <w:i/>
          <w:sz w:val="20"/>
          <w:szCs w:val="20"/>
        </w:rPr>
      </w:pPr>
      <w:bookmarkStart w:id="1" w:name="_1fob9te" w:colFirst="0" w:colLast="0"/>
      <w:bookmarkEnd w:id="1"/>
      <w:r>
        <w:rPr>
          <w:i/>
        </w:rPr>
        <w:t>Pièce N°12.</w:t>
      </w:r>
      <w:r>
        <w:rPr>
          <w:i/>
        </w:rPr>
        <w:tab/>
      </w:r>
      <w:r>
        <w:rPr>
          <w:i/>
        </w:rPr>
        <w:t>Le formulaire de la Déclaration d’engagement social et Environnemental</w:t>
      </w:r>
    </w:p>
    <w:p>
      <w:pPr>
        <w:pStyle w:val="3"/>
        <w:widowControl w:val="0"/>
        <w:spacing w:line="360" w:lineRule="auto"/>
        <w:jc w:val="both"/>
        <w:rPr>
          <w:i/>
          <w:sz w:val="20"/>
          <w:szCs w:val="20"/>
        </w:rPr>
      </w:pPr>
      <w:r>
        <w:rPr>
          <w:i/>
        </w:rPr>
        <w:t>Pièce N°13.</w:t>
      </w:r>
      <w:r>
        <w:rPr>
          <w:i/>
        </w:rPr>
        <w:tab/>
      </w:r>
      <w:r>
        <w:rPr>
          <w:i/>
        </w:rPr>
        <w:t>Le Visa de maturité ou Justificatifs des études préalables</w:t>
      </w:r>
    </w:p>
    <w:p>
      <w:pPr>
        <w:pStyle w:val="3"/>
        <w:widowControl w:val="0"/>
        <w:spacing w:line="360" w:lineRule="auto"/>
        <w:jc w:val="both"/>
        <w:rPr>
          <w:i/>
          <w:sz w:val="20"/>
          <w:szCs w:val="20"/>
        </w:rPr>
      </w:pPr>
      <w:r>
        <w:rPr>
          <w:i/>
        </w:rPr>
        <w:t>Pièce N°14.</w:t>
      </w:r>
      <w:r>
        <w:rPr>
          <w:i/>
        </w:rPr>
        <w:tab/>
      </w:r>
      <w:r>
        <w:rPr>
          <w:i/>
        </w:rPr>
        <w:t xml:space="preserve">La Liste des établissements bancaires et organismes habilités à émettre des cautions dans le cadre des Marchés Publics. </w:t>
      </w:r>
    </w:p>
    <w:p>
      <w:pPr>
        <w:pStyle w:val="3"/>
        <w:widowControl w:val="0"/>
        <w:spacing w:line="360" w:lineRule="auto"/>
        <w:jc w:val="both"/>
        <w:rPr>
          <w:i/>
          <w:sz w:val="20"/>
          <w:szCs w:val="20"/>
        </w:rPr>
      </w:pPr>
    </w:p>
    <w:p>
      <w:pPr>
        <w:pStyle w:val="3"/>
        <w:widowControl w:val="0"/>
        <w:spacing w:line="360" w:lineRule="auto"/>
        <w:jc w:val="both"/>
        <w:rPr>
          <w:i/>
          <w:sz w:val="20"/>
          <w:szCs w:val="20"/>
        </w:rPr>
      </w:pPr>
    </w:p>
    <w:p>
      <w:pPr>
        <w:pStyle w:val="3"/>
        <w:widowControl w:val="0"/>
        <w:spacing w:after="120" w:line="360" w:lineRule="auto"/>
        <w:jc w:val="both"/>
        <w:rPr>
          <w:b/>
          <w:i/>
          <w:smallCaps/>
        </w:rPr>
      </w:pPr>
      <w:r>
        <w:rPr>
          <w:b/>
          <w:i/>
          <w:u w:val="single"/>
        </w:rPr>
        <w:t xml:space="preserve"> </w:t>
      </w:r>
    </w:p>
    <w:p>
      <w:pPr>
        <w:pStyle w:val="3"/>
        <w:widowControl w:val="0"/>
        <w:spacing w:after="120" w:line="360" w:lineRule="auto"/>
        <w:jc w:val="both"/>
        <w:rPr>
          <w:b/>
          <w:i/>
          <w:smallCaps/>
        </w:rPr>
      </w:pPr>
    </w:p>
    <w:p>
      <w:pPr>
        <w:pStyle w:val="3"/>
        <w:widowControl w:val="0"/>
        <w:spacing w:after="120" w:line="360" w:lineRule="auto"/>
        <w:jc w:val="both"/>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widowControl w:val="0"/>
        <w:spacing w:line="276" w:lineRule="auto"/>
      </w:pPr>
    </w:p>
    <w:p>
      <w:pPr>
        <w:pStyle w:val="3"/>
        <w:tabs>
          <w:tab w:val="left" w:pos="1560"/>
          <w:tab w:val="right" w:pos="9622"/>
        </w:tabs>
        <w:spacing w:after="100" w:line="360" w:lineRule="auto"/>
        <w:ind w:left="1560" w:hanging="1560"/>
        <w:rPr>
          <w:sz w:val="20"/>
          <w:szCs w:val="20"/>
        </w:rPr>
      </w:pPr>
      <w:r>
        <w:fldChar w:fldCharType="begin"/>
      </w:r>
      <w:r>
        <w:instrText xml:space="preserve"> HYPERLINK \l "_2jxsxqh" \h </w:instrText>
      </w:r>
      <w:r>
        <w:fldChar w:fldCharType="separate"/>
      </w:r>
      <w:r>
        <w:tab/>
      </w:r>
      <w:r>
        <w:tab/>
      </w:r>
      <w:r>
        <w:fldChar w:fldCharType="end"/>
      </w:r>
    </w:p>
    <w:p>
      <w:pPr>
        <w:pStyle w:val="3"/>
        <w:widowControl w:val="0"/>
        <w:spacing w:line="360" w:lineRule="auto"/>
        <w:jc w:val="both"/>
        <w:rPr>
          <w:sz w:val="20"/>
          <w:szCs w:val="20"/>
        </w:rPr>
      </w:pPr>
    </w:p>
    <w:p>
      <w:pPr>
        <w:pStyle w:val="3"/>
        <w:widowControl w:val="0"/>
        <w:spacing w:line="360" w:lineRule="auto"/>
        <w:jc w:val="both"/>
        <w:rPr>
          <w:b/>
          <w:i/>
          <w:smallCaps/>
        </w:rPr>
      </w:pPr>
    </w:p>
    <w:p>
      <w:pPr>
        <w:pStyle w:val="3"/>
        <w:rPr>
          <w:b/>
          <w:i/>
          <w:smallCaps/>
        </w:rPr>
      </w:pPr>
      <w:r>
        <w:br w:type="textWrapping"/>
      </w: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tabs>
          <w:tab w:val="left" w:pos="1320"/>
        </w:tabs>
        <w:rPr>
          <w:b/>
          <w:i/>
          <w:smallCaps/>
        </w:rPr>
      </w:pPr>
      <w:r>
        <w:tab/>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ind w:left="4320" w:firstLine="720"/>
        <w:rPr>
          <w:b/>
          <w:i/>
          <w:smallCaps/>
        </w:rPr>
      </w:pPr>
      <w:bookmarkStart w:id="2" w:name="_2et92p0" w:colFirst="0" w:colLast="0"/>
      <w:bookmarkEnd w:id="2"/>
      <w:r>
        <w:t xml:space="preserve">Pièce n°1 </w:t>
      </w:r>
    </w:p>
    <w:p>
      <w:pPr>
        <w:pStyle w:val="3"/>
        <w:widowControl w:val="0"/>
        <w:ind w:left="851" w:firstLine="1"/>
        <w:jc w:val="center"/>
        <w:rPr>
          <w:b/>
          <w:smallCaps/>
          <w:color w:val="000000"/>
          <w:sz w:val="36"/>
          <w:szCs w:val="36"/>
        </w:rPr>
      </w:pPr>
      <w:r>
        <w:rPr>
          <w:b/>
          <w:smallCaps/>
          <w:color w:val="000000"/>
          <w:sz w:val="36"/>
          <w:szCs w:val="36"/>
        </w:rPr>
        <w:t>AVIS D'APPEL D'OFFRES (AAO)</w:t>
      </w:r>
    </w:p>
    <w:p>
      <w:pPr>
        <w:pStyle w:val="3"/>
        <w:pageBreakBefore/>
        <w:spacing w:line="360" w:lineRule="auto"/>
        <w:rPr>
          <w:b/>
          <w:i/>
          <w:smallCaps/>
        </w:rPr>
      </w:pPr>
    </w:p>
    <w:p>
      <w:pPr>
        <w:pStyle w:val="3"/>
        <w:widowControl w:val="0"/>
        <w:spacing w:line="360" w:lineRule="auto"/>
        <w:jc w:val="both"/>
        <w:rPr>
          <w:b/>
          <w:i/>
          <w:smallCaps/>
        </w:rPr>
      </w:pPr>
    </w:p>
    <w:p>
      <w:pPr>
        <w:pStyle w:val="3"/>
        <w:widowControl w:val="0"/>
        <w:spacing w:line="360" w:lineRule="auto"/>
        <w:jc w:val="center"/>
        <w:rPr>
          <w:b/>
          <w:smallCaps/>
          <w:color w:val="000000"/>
          <w:sz w:val="32"/>
          <w:szCs w:val="32"/>
        </w:rPr>
      </w:pPr>
      <w:bookmarkStart w:id="3" w:name="_3j2qqm3" w:colFirst="0" w:colLast="0"/>
      <w:bookmarkEnd w:id="3"/>
      <w:r>
        <w:rPr>
          <w:b/>
          <w:smallCaps/>
          <w:color w:val="000000"/>
          <w:sz w:val="32"/>
          <w:szCs w:val="32"/>
        </w:rPr>
        <w:t>AVIS D’APPEL D’OFFRES</w:t>
      </w:r>
    </w:p>
    <w:p>
      <w:pPr>
        <w:pStyle w:val="3"/>
        <w:widowControl w:val="0"/>
        <w:spacing w:line="360" w:lineRule="auto"/>
        <w:jc w:val="center"/>
        <w:rPr>
          <w:b/>
          <w:sz w:val="4"/>
          <w:szCs w:val="4"/>
        </w:rPr>
      </w:pPr>
    </w:p>
    <w:p>
      <w:pPr>
        <w:pStyle w:val="3"/>
        <w:widowControl w:val="0"/>
        <w:spacing w:before="61" w:line="360" w:lineRule="auto"/>
        <w:ind w:left="285" w:right="-20"/>
        <w:jc w:val="both"/>
        <w:rPr>
          <w:b/>
          <w:sz w:val="20"/>
          <w:szCs w:val="20"/>
        </w:rPr>
      </w:pPr>
      <w:r>
        <w:rPr>
          <w:b/>
        </w:rPr>
        <w:t xml:space="preserve">DOSSIER D’APPEL D’OFFRES NATIONAL OUVERT EN PROCEDURE D’URGENCE N° 010(bis)/AONO/PU/C-BBU/SG/SIGAMP/CIPM/2025 DU   </w:t>
      </w:r>
      <w:r>
        <w:rPr>
          <w:b/>
          <w:lang w:val="fr-FR"/>
        </w:rPr>
        <w:t>09/05/2025</w:t>
      </w:r>
      <w:r>
        <w:rPr>
          <w:b/>
        </w:rPr>
        <w:t xml:space="preserve">         RELATIF AUX TRAVAUX D’ACHEVEMENT DU CSI D’EMINEMVOM I1 DANS LA COMMUNE DE BIWONG BULU, DEPARTEMENT DE LA MVILA, REGION DU SUD</w:t>
      </w:r>
    </w:p>
    <w:p>
      <w:pPr>
        <w:pStyle w:val="3"/>
        <w:widowControl w:val="0"/>
        <w:spacing w:before="61" w:line="360" w:lineRule="auto"/>
        <w:ind w:left="285" w:right="-20"/>
        <w:jc w:val="both"/>
        <w:rPr>
          <w:b/>
        </w:rPr>
      </w:pPr>
      <w:r>
        <w:rPr>
          <w:b/>
        </w:rPr>
        <w:t>FINANCEMENT : BIP MINDDEVEL, EXERCICE 2025.</w:t>
      </w:r>
    </w:p>
    <w:p>
      <w:pPr>
        <w:pStyle w:val="3"/>
        <w:widowControl w:val="0"/>
        <w:spacing w:before="61" w:line="360" w:lineRule="auto"/>
        <w:ind w:left="285" w:right="-20"/>
        <w:jc w:val="both"/>
        <w:rPr>
          <w:b/>
          <w:sz w:val="20"/>
          <w:szCs w:val="20"/>
        </w:rPr>
      </w:pPr>
    </w:p>
    <w:p>
      <w:pPr>
        <w:pStyle w:val="3"/>
        <w:widowControl w:val="0"/>
        <w:numPr>
          <w:ilvl w:val="0"/>
          <w:numId w:val="2"/>
        </w:numPr>
        <w:spacing w:before="61" w:line="360" w:lineRule="auto"/>
        <w:ind w:right="-20"/>
        <w:jc w:val="both"/>
        <w:rPr>
          <w:b/>
          <w:sz w:val="22"/>
          <w:szCs w:val="20"/>
        </w:rPr>
      </w:pPr>
      <w:r>
        <w:rPr>
          <w:b/>
          <w:sz w:val="28"/>
        </w:rPr>
        <w:t>Objet de l'Appel d'Offres</w:t>
      </w:r>
    </w:p>
    <w:p>
      <w:pPr>
        <w:pStyle w:val="3"/>
        <w:widowControl w:val="0"/>
        <w:spacing w:after="120" w:line="360" w:lineRule="auto"/>
        <w:jc w:val="both"/>
        <w:rPr>
          <w:b/>
          <w:i/>
          <w:sz w:val="20"/>
          <w:szCs w:val="20"/>
        </w:rPr>
      </w:pPr>
      <w:r>
        <w:t xml:space="preserve">Dans le cadre du BIP MINDDEVEL 2025, </w:t>
      </w:r>
      <w:r>
        <w:rPr>
          <w:i/>
        </w:rPr>
        <w:t xml:space="preserve">le Maire de la Commune de iwong Bulu  </w:t>
      </w:r>
      <w:r>
        <w:t xml:space="preserve">lance un Appel d’Offres OUVERT EN PROCEDURE D’URGENCE N° 010(bis)/AONO/PU/C-BBU/SG/SIGAMP/CIPM/2025 DU           </w:t>
      </w:r>
      <w:r>
        <w:rPr>
          <w:lang w:val="fr-FR"/>
        </w:rPr>
        <w:t>09/05/2025</w:t>
      </w:r>
      <w:r>
        <w:t xml:space="preserve">               RELATIF AUX TRAVAUX D’ACHEVEMENT DU CSI D’EMINEMVOM 1I DANS LA COMMUNE DE BIWONG BULU, DEPARTEMENT DE LA MVILA, REGION DU SUD</w:t>
      </w:r>
    </w:p>
    <w:p>
      <w:pPr>
        <w:pStyle w:val="3"/>
        <w:widowControl w:val="0"/>
        <w:numPr>
          <w:ilvl w:val="0"/>
          <w:numId w:val="2"/>
        </w:numPr>
        <w:spacing w:after="120" w:line="360" w:lineRule="auto"/>
        <w:jc w:val="both"/>
        <w:rPr>
          <w:b/>
          <w:i/>
          <w:sz w:val="20"/>
          <w:szCs w:val="20"/>
        </w:rPr>
      </w:pPr>
      <w:r>
        <w:t xml:space="preserve"> </w:t>
      </w:r>
      <w:r>
        <w:rPr>
          <w:b/>
          <w:sz w:val="28"/>
        </w:rPr>
        <w:t>Consistance des travaux</w:t>
      </w:r>
    </w:p>
    <w:p>
      <w:pPr>
        <w:pStyle w:val="3"/>
        <w:widowControl w:val="0"/>
        <w:spacing w:line="360" w:lineRule="auto"/>
        <w:jc w:val="both"/>
      </w:pPr>
      <w:r>
        <w:t xml:space="preserve">Les travaux comprennent notamment : </w:t>
      </w:r>
    </w:p>
    <w:p>
      <w:pPr>
        <w:pStyle w:val="3"/>
        <w:widowControl w:val="0"/>
        <w:numPr>
          <w:ilvl w:val="0"/>
          <w:numId w:val="3"/>
        </w:numPr>
        <w:spacing w:line="360" w:lineRule="auto"/>
        <w:jc w:val="both"/>
        <w:rPr>
          <w:sz w:val="20"/>
          <w:szCs w:val="20"/>
        </w:rPr>
      </w:pPr>
      <w:r>
        <w:t>ETUDES ET TRAVAUX PRELIMINAIRES-TERRASSEMENT ;</w:t>
      </w:r>
    </w:p>
    <w:p>
      <w:pPr>
        <w:pStyle w:val="3"/>
        <w:widowControl w:val="0"/>
        <w:numPr>
          <w:ilvl w:val="0"/>
          <w:numId w:val="3"/>
        </w:numPr>
        <w:spacing w:line="360" w:lineRule="auto"/>
        <w:jc w:val="both"/>
        <w:rPr>
          <w:sz w:val="20"/>
          <w:szCs w:val="20"/>
        </w:rPr>
      </w:pPr>
      <w:r>
        <w:t>FONDATIONS ;</w:t>
      </w:r>
    </w:p>
    <w:p>
      <w:pPr>
        <w:pStyle w:val="3"/>
        <w:widowControl w:val="0"/>
        <w:numPr>
          <w:ilvl w:val="0"/>
          <w:numId w:val="3"/>
        </w:numPr>
        <w:spacing w:line="360" w:lineRule="auto"/>
        <w:jc w:val="both"/>
        <w:rPr>
          <w:sz w:val="20"/>
          <w:szCs w:val="20"/>
        </w:rPr>
      </w:pPr>
      <w:r>
        <w:t>MACONNERIE ;</w:t>
      </w:r>
    </w:p>
    <w:p>
      <w:pPr>
        <w:pStyle w:val="3"/>
        <w:widowControl w:val="0"/>
        <w:numPr>
          <w:ilvl w:val="0"/>
          <w:numId w:val="3"/>
        </w:numPr>
        <w:spacing w:line="360" w:lineRule="auto"/>
        <w:jc w:val="both"/>
        <w:rPr>
          <w:sz w:val="20"/>
          <w:szCs w:val="20"/>
        </w:rPr>
      </w:pPr>
      <w:r>
        <w:t>REVETEMENT DES SCELLES</w:t>
      </w:r>
    </w:p>
    <w:p>
      <w:pPr>
        <w:pStyle w:val="3"/>
        <w:widowControl w:val="0"/>
        <w:numPr>
          <w:ilvl w:val="0"/>
          <w:numId w:val="3"/>
        </w:numPr>
        <w:spacing w:line="360" w:lineRule="auto"/>
        <w:jc w:val="both"/>
        <w:rPr>
          <w:sz w:val="20"/>
          <w:szCs w:val="20"/>
        </w:rPr>
      </w:pPr>
      <w:r>
        <w:t>CHARPENTE ET COUVERTURE ;</w:t>
      </w:r>
    </w:p>
    <w:p>
      <w:pPr>
        <w:pStyle w:val="3"/>
        <w:widowControl w:val="0"/>
        <w:numPr>
          <w:ilvl w:val="0"/>
          <w:numId w:val="3"/>
        </w:numPr>
        <w:spacing w:line="360" w:lineRule="auto"/>
        <w:jc w:val="both"/>
        <w:rPr>
          <w:sz w:val="20"/>
          <w:szCs w:val="20"/>
        </w:rPr>
      </w:pPr>
      <w:r>
        <w:t>MENUISERIE  BOIS ;</w:t>
      </w:r>
    </w:p>
    <w:p>
      <w:pPr>
        <w:pStyle w:val="3"/>
        <w:widowControl w:val="0"/>
        <w:numPr>
          <w:ilvl w:val="0"/>
          <w:numId w:val="3"/>
        </w:numPr>
        <w:spacing w:line="360" w:lineRule="auto"/>
        <w:jc w:val="both"/>
        <w:rPr>
          <w:sz w:val="20"/>
          <w:szCs w:val="20"/>
        </w:rPr>
      </w:pPr>
      <w:r>
        <w:t>ELECTRICITE ;</w:t>
      </w:r>
    </w:p>
    <w:p>
      <w:pPr>
        <w:pStyle w:val="3"/>
        <w:widowControl w:val="0"/>
        <w:numPr>
          <w:ilvl w:val="0"/>
          <w:numId w:val="3"/>
        </w:numPr>
        <w:spacing w:line="360" w:lineRule="auto"/>
        <w:jc w:val="both"/>
        <w:rPr>
          <w:sz w:val="20"/>
          <w:szCs w:val="20"/>
        </w:rPr>
      </w:pPr>
      <w:r>
        <w:t>PLONBERIE SANITAIRE</w:t>
      </w:r>
    </w:p>
    <w:p>
      <w:pPr>
        <w:pStyle w:val="3"/>
        <w:widowControl w:val="0"/>
        <w:spacing w:before="120" w:after="120"/>
        <w:rPr>
          <w:sz w:val="28"/>
          <w:szCs w:val="28"/>
        </w:rPr>
      </w:pPr>
      <w:bookmarkStart w:id="4" w:name="_1y810tw" w:colFirst="0" w:colLast="0"/>
      <w:bookmarkEnd w:id="4"/>
      <w:r>
        <w:rPr>
          <w:b/>
          <w:color w:val="000000"/>
          <w:sz w:val="28"/>
          <w:szCs w:val="28"/>
        </w:rPr>
        <w:t>4- Coût prévisionnel</w:t>
      </w:r>
    </w:p>
    <w:p>
      <w:pPr>
        <w:pStyle w:val="3"/>
        <w:widowControl w:val="0"/>
        <w:spacing w:after="120" w:line="360" w:lineRule="auto"/>
        <w:jc w:val="both"/>
        <w:rPr>
          <w:sz w:val="2"/>
          <w:szCs w:val="2"/>
        </w:rPr>
      </w:pPr>
      <w:r>
        <w:t>Le coût prévisionnel de l’opération à l’issue des études préalables est de 26 820 600 (</w:t>
      </w:r>
      <w:r>
        <w:rPr>
          <w:i/>
        </w:rPr>
        <w:t>vingt-six millions huit cent vingt mille six cent</w:t>
      </w:r>
      <w:r>
        <w:t>)</w:t>
      </w:r>
    </w:p>
    <w:p>
      <w:pPr>
        <w:pStyle w:val="3"/>
        <w:widowControl w:val="0"/>
        <w:numPr>
          <w:ilvl w:val="0"/>
          <w:numId w:val="4"/>
        </w:numPr>
        <w:spacing w:before="120" w:after="120"/>
        <w:rPr>
          <w:sz w:val="28"/>
          <w:szCs w:val="28"/>
        </w:rPr>
      </w:pPr>
      <w:r>
        <w:rPr>
          <w:b/>
          <w:color w:val="000000"/>
          <w:sz w:val="28"/>
          <w:szCs w:val="28"/>
        </w:rPr>
        <w:t xml:space="preserve">Délai prévisionnel d’exécution </w:t>
      </w:r>
    </w:p>
    <w:p>
      <w:pPr>
        <w:pStyle w:val="3"/>
        <w:widowControl w:val="0"/>
        <w:spacing w:after="120" w:line="360" w:lineRule="auto"/>
        <w:jc w:val="both"/>
        <w:rPr>
          <w:b/>
          <w:i/>
          <w:smallCaps/>
        </w:rPr>
      </w:pPr>
      <w:r>
        <w:t xml:space="preserve">Le délai maximum prévu par le Maître d’Ouvrage pour la réalisation des travaux, objet du présent Appel d’Offres est de (90) </w:t>
      </w:r>
      <w:r>
        <w:rPr>
          <w:i/>
        </w:rPr>
        <w:t>quatre-vingt-dix jours</w:t>
      </w:r>
      <w:r>
        <w:t xml:space="preserve"> calendaires. Ce délai court à compter de la date de notification de l’Ordre de Service de commencer les prestations. </w:t>
      </w:r>
    </w:p>
    <w:p>
      <w:pPr>
        <w:pStyle w:val="3"/>
        <w:widowControl w:val="0"/>
        <w:numPr>
          <w:ilvl w:val="0"/>
          <w:numId w:val="4"/>
        </w:numPr>
        <w:spacing w:before="120" w:after="120"/>
        <w:rPr>
          <w:sz w:val="28"/>
          <w:szCs w:val="28"/>
        </w:rPr>
      </w:pPr>
      <w:r>
        <w:rPr>
          <w:b/>
          <w:color w:val="000000"/>
          <w:sz w:val="28"/>
          <w:szCs w:val="28"/>
        </w:rPr>
        <w:t>Participation et origine</w:t>
      </w:r>
    </w:p>
    <w:p>
      <w:pPr>
        <w:pStyle w:val="3"/>
        <w:widowControl w:val="0"/>
        <w:spacing w:before="120" w:after="120"/>
        <w:rPr>
          <w:sz w:val="28"/>
          <w:szCs w:val="28"/>
        </w:rPr>
      </w:pPr>
      <w:r>
        <w:rPr>
          <w:color w:val="000000"/>
        </w:rPr>
        <w:t>La participation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pPr>
        <w:pStyle w:val="3"/>
        <w:widowControl w:val="0"/>
        <w:numPr>
          <w:ilvl w:val="0"/>
          <w:numId w:val="4"/>
        </w:numPr>
        <w:spacing w:before="120" w:after="120"/>
        <w:rPr>
          <w:sz w:val="28"/>
          <w:szCs w:val="28"/>
        </w:rPr>
      </w:pPr>
      <w:r>
        <w:rPr>
          <w:b/>
          <w:color w:val="000000"/>
          <w:sz w:val="28"/>
          <w:szCs w:val="28"/>
        </w:rPr>
        <w:t>Financement</w:t>
      </w:r>
    </w:p>
    <w:p>
      <w:pPr>
        <w:pStyle w:val="3"/>
        <w:widowControl w:val="0"/>
        <w:spacing w:after="120" w:line="360" w:lineRule="auto"/>
        <w:jc w:val="both"/>
        <w:rPr>
          <w:b/>
          <w:i/>
        </w:rPr>
      </w:pPr>
      <w:r>
        <w:t xml:space="preserve">Les travaux objet du présent Appel d'Offres sont financés par </w:t>
      </w:r>
      <w:r>
        <w:rPr>
          <w:i/>
        </w:rPr>
        <w:t xml:space="preserve">BIP 2025 exercice 2025 </w:t>
      </w:r>
      <w:r>
        <w:t>sur la ligne d’imputation budgétaire n°</w:t>
      </w:r>
      <w:r>
        <w:rPr>
          <w:b/>
          <w:sz w:val="20"/>
          <w:szCs w:val="20"/>
        </w:rPr>
        <w:t xml:space="preserve"> </w:t>
      </w:r>
      <w:r>
        <w:rPr>
          <w:b/>
          <w:i/>
        </w:rPr>
        <w:t>JAO4401-59 30 186 641811 523313</w:t>
      </w:r>
    </w:p>
    <w:p>
      <w:pPr>
        <w:pStyle w:val="52"/>
        <w:numPr>
          <w:ilvl w:val="0"/>
          <w:numId w:val="4"/>
        </w:numPr>
        <w:rPr>
          <w:rFonts w:ascii="Times New Roman" w:hAnsi="Times New Roman" w:cs="Times New Roman"/>
        </w:rPr>
      </w:pPr>
      <w:r>
        <w:rPr>
          <w:rFonts w:ascii="Times New Roman" w:hAnsi="Times New Roman" w:cs="Times New Roman"/>
        </w:rPr>
        <w:t xml:space="preserve">Mode de soumission </w:t>
      </w:r>
    </w:p>
    <w:p>
      <w:pPr>
        <w:widowControl w:val="0"/>
        <w:autoSpaceDE w:val="0"/>
        <w:adjustRightInd w:val="0"/>
        <w:spacing w:before="11" w:line="360" w:lineRule="auto"/>
        <w:jc w:val="both"/>
      </w:pPr>
      <w:r>
        <w:t xml:space="preserve">Le mode de soumission retenu pour cette consultation est </w:t>
      </w:r>
      <w:r>
        <w:rPr>
          <w:i/>
        </w:rPr>
        <w:t>hors ligne</w:t>
      </w:r>
      <w:r>
        <w:t>.</w:t>
      </w:r>
    </w:p>
    <w:p>
      <w:pPr>
        <w:widowControl w:val="0"/>
        <w:autoSpaceDE w:val="0"/>
        <w:adjustRightInd w:val="0"/>
        <w:spacing w:before="11" w:line="360" w:lineRule="auto"/>
        <w:jc w:val="both"/>
        <w:rPr>
          <w:b/>
        </w:rPr>
      </w:pPr>
      <w:r>
        <w:t>Toutefois, lorsque les deux possibilités sont ouvertes, un soumissionnaire ne peut utiliser à la fois le mode en ligne et le mode hors ligne</w:t>
      </w:r>
      <w:r>
        <w:rPr>
          <w:b/>
        </w:rPr>
        <w:t>.</w:t>
      </w:r>
    </w:p>
    <w:p>
      <w:pPr>
        <w:pStyle w:val="3"/>
        <w:widowControl w:val="0"/>
        <w:numPr>
          <w:ilvl w:val="0"/>
          <w:numId w:val="4"/>
        </w:numPr>
        <w:spacing w:before="120" w:after="120"/>
        <w:rPr>
          <w:sz w:val="28"/>
          <w:szCs w:val="28"/>
        </w:rPr>
      </w:pPr>
      <w:r>
        <w:rPr>
          <w:b/>
          <w:color w:val="000000"/>
          <w:sz w:val="28"/>
          <w:szCs w:val="28"/>
        </w:rPr>
        <w:t xml:space="preserve">Cautionnement de soumission </w:t>
      </w:r>
    </w:p>
    <w:p>
      <w:pPr>
        <w:pStyle w:val="3"/>
        <w:widowControl w:val="0"/>
        <w:spacing w:line="360" w:lineRule="auto"/>
        <w:jc w:val="both"/>
      </w:pPr>
      <w:bookmarkStart w:id="5" w:name="_4i7ojhp" w:colFirst="0" w:colLast="0"/>
      <w:bookmarkEnd w:id="5"/>
      <w:r>
        <w:t xml:space="preserve">Chaque soumissionnaire doit joindre à ses pièces administratives un cautionnement de soumission  acquitté à la main et timbrée, délivrée par un organisme ou une institution financière agréée par le Ministre chargé des finances pour émettre les cautions dans le domaines des marchés publics, dont la liste figure dans la pièce  14  du DAO, dont le montant s’élève à </w:t>
      </w:r>
      <w:r>
        <w:rPr>
          <w:b/>
        </w:rPr>
        <w:t xml:space="preserve"> 536 412 fcfa (cinq cent trente-six mille quatre cent douze) </w:t>
      </w:r>
      <w:r>
        <w:rPr>
          <w:b/>
          <w:i/>
        </w:rPr>
        <w:t xml:space="preserve"> ce montant est au plus égal à 2% du coût prévisionnel toutes taxes comprises</w:t>
      </w:r>
      <w:r>
        <w:rPr>
          <w:i/>
        </w:rPr>
        <w:t xml:space="preserve"> (TTC) du marché conformément à l’arrêté en vigueur</w:t>
      </w:r>
      <w:r>
        <w:t xml:space="preserve"> et valable jusqu'à trente (30) jours au-delà de la date initiale de validité des offres et assorti d’un récépissé de consignation délivré par la Caisse de dépôts et de consignation .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pPr>
        <w:pStyle w:val="3"/>
        <w:widowControl w:val="0"/>
        <w:spacing w:line="360" w:lineRule="auto"/>
        <w:jc w:val="both"/>
        <w:rPr>
          <w:b/>
          <w:i/>
          <w:smallCaps/>
        </w:rPr>
      </w:pPr>
    </w:p>
    <w:p>
      <w:pPr>
        <w:pStyle w:val="3"/>
        <w:widowControl w:val="0"/>
        <w:numPr>
          <w:ilvl w:val="0"/>
          <w:numId w:val="4"/>
        </w:numPr>
        <w:spacing w:before="120" w:after="120"/>
        <w:rPr>
          <w:sz w:val="28"/>
          <w:szCs w:val="28"/>
        </w:rPr>
      </w:pPr>
      <w:r>
        <w:rPr>
          <w:b/>
          <w:color w:val="000000"/>
          <w:sz w:val="28"/>
          <w:szCs w:val="28"/>
        </w:rPr>
        <w:t>Consultation du Dossier d'Appel d'Offres</w:t>
      </w:r>
    </w:p>
    <w:p>
      <w:pPr>
        <w:pStyle w:val="3"/>
        <w:widowControl w:val="0"/>
        <w:spacing w:line="360" w:lineRule="auto"/>
        <w:jc w:val="both"/>
        <w:rPr>
          <w:b/>
          <w:i/>
          <w:smallCaps/>
        </w:rPr>
      </w:pPr>
      <w:r>
        <w:t xml:space="preserve">Le dossier physique peut être consulté gratuitement ouvrables à la Commune de Biwong Bulu (SIGAMP), (BP : 657 Ebolowa </w:t>
      </w:r>
      <w:r>
        <w:rPr>
          <w:b/>
          <w:i/>
          <w:smallCaps/>
        </w:rPr>
        <w:t xml:space="preserve"> </w:t>
      </w:r>
      <w:r>
        <w:t>672726 077/ 683689096) dès publication du présent avis.</w:t>
      </w:r>
    </w:p>
    <w:p>
      <w:pPr>
        <w:pStyle w:val="3"/>
        <w:widowControl w:val="0"/>
        <w:spacing w:before="11" w:line="360" w:lineRule="auto"/>
        <w:jc w:val="both"/>
      </w:pPr>
      <w:r>
        <w:t xml:space="preserve">Il peut également être consulté </w:t>
      </w:r>
      <w:r>
        <w:rPr>
          <w:b/>
        </w:rPr>
        <w:t xml:space="preserve">en ligne sur </w:t>
      </w:r>
      <w:r>
        <w:t>le site internet de l'ARMP (</w:t>
      </w:r>
      <w:r>
        <w:fldChar w:fldCharType="begin"/>
      </w:r>
      <w:r>
        <w:instrText xml:space="preserve"> HYPERLINK "http://word/http://www.armp.cm" \h </w:instrText>
      </w:r>
      <w:r>
        <w:fldChar w:fldCharType="separate"/>
      </w:r>
      <w:r>
        <w:rPr>
          <w:color w:val="000000"/>
          <w:u w:val="single"/>
        </w:rPr>
        <w:t>www.armp.cm</w:t>
      </w:r>
      <w:r>
        <w:rPr>
          <w:color w:val="000000"/>
          <w:u w:val="single"/>
        </w:rPr>
        <w:fldChar w:fldCharType="end"/>
      </w:r>
      <w:r>
        <w:t>.)</w:t>
      </w:r>
    </w:p>
    <w:p>
      <w:pPr>
        <w:pStyle w:val="3"/>
        <w:widowControl w:val="0"/>
        <w:spacing w:before="11" w:line="360" w:lineRule="auto"/>
        <w:jc w:val="both"/>
        <w:rPr>
          <w:b/>
          <w:i/>
          <w:smallCaps/>
        </w:rPr>
      </w:pPr>
    </w:p>
    <w:p>
      <w:pPr>
        <w:pStyle w:val="3"/>
        <w:widowControl w:val="0"/>
        <w:numPr>
          <w:ilvl w:val="0"/>
          <w:numId w:val="4"/>
        </w:numPr>
        <w:spacing w:before="120" w:after="120"/>
        <w:rPr>
          <w:sz w:val="28"/>
          <w:szCs w:val="28"/>
        </w:rPr>
      </w:pPr>
      <w:r>
        <w:rPr>
          <w:b/>
          <w:color w:val="000000"/>
          <w:sz w:val="28"/>
          <w:szCs w:val="28"/>
        </w:rPr>
        <w:t xml:space="preserve">Acquisition du Dossier d'Appel d'Offres </w:t>
      </w:r>
    </w:p>
    <w:p>
      <w:pPr>
        <w:pStyle w:val="3"/>
        <w:widowControl w:val="0"/>
        <w:spacing w:line="360" w:lineRule="auto"/>
        <w:rPr>
          <w:b/>
          <w:i/>
          <w:smallCaps/>
        </w:rPr>
      </w:pPr>
      <w:r>
        <w:t xml:space="preserve">Le dossier d’Appel d’Offres peut être obtenu aux heures ouvrables à la Structure Interne de Gestion Administrative des Marchés Publics de la Commune de BIWONG BULU ; dès publication du présent avis, contre versement d’une somme non remboursable de  </w:t>
      </w:r>
      <w:r>
        <w:rPr>
          <w:b/>
        </w:rPr>
        <w:t>Quarante mille (40 000)</w:t>
      </w:r>
      <w:r>
        <w:t xml:space="preserve"> FCFA, payable auprès de la Recette Municipale de la Commune de BIWONG BULU, représentant les frais d’acquisition du DAO. La quittance devra préciser le numéro de l’Avis d’Appel d’Offres. Lors du retrait du DAO, les soumissionnaires devront se faire enregistrer en laissant leur adresse complète : Boite Postale, Téléphone, Fax, E-mail 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pPr>
        <w:pStyle w:val="3"/>
        <w:widowControl w:val="0"/>
        <w:numPr>
          <w:ilvl w:val="0"/>
          <w:numId w:val="4"/>
        </w:numPr>
        <w:spacing w:before="120" w:after="120"/>
        <w:rPr>
          <w:sz w:val="28"/>
          <w:szCs w:val="28"/>
        </w:rPr>
      </w:pPr>
      <w:r>
        <w:rPr>
          <w:b/>
          <w:color w:val="000000"/>
          <w:sz w:val="28"/>
          <w:szCs w:val="28"/>
        </w:rPr>
        <w:t>Remise des offres</w:t>
      </w:r>
    </w:p>
    <w:p>
      <w:pPr>
        <w:pStyle w:val="3"/>
        <w:widowControl w:val="0"/>
        <w:spacing w:line="360" w:lineRule="auto"/>
        <w:ind w:left="476"/>
        <w:rPr>
          <w:i/>
          <w:sz w:val="20"/>
          <w:szCs w:val="20"/>
        </w:rPr>
      </w:pPr>
      <w:r>
        <w:rPr>
          <w:i/>
        </w:rPr>
        <w:t xml:space="preserve">Chaque offre rédigée en français ou en anglais et en sept (07) exemplaires dont un original et six (06) copies marquées comme tel devra parvenir au secrétariat général de la Commune de BIWONG BULU  au plus tard  le                        </w:t>
      </w:r>
      <w:r>
        <w:rPr>
          <w:i/>
          <w:lang w:val="fr-FR"/>
        </w:rPr>
        <w:t>10/06/2025</w:t>
      </w:r>
      <w:r>
        <w:rPr>
          <w:i/>
        </w:rPr>
        <w:t xml:space="preserve">                   à 1</w:t>
      </w:r>
      <w:r>
        <w:rPr>
          <w:i/>
          <w:lang w:val="fr-FR"/>
        </w:rPr>
        <w:t>4</w:t>
      </w:r>
      <w:r>
        <w:rPr>
          <w:i/>
        </w:rPr>
        <w:t xml:space="preserve">Heures, heure locale . Les Offres déposées devront porter la mention : </w:t>
      </w:r>
    </w:p>
    <w:p>
      <w:pPr>
        <w:pStyle w:val="3"/>
        <w:widowControl w:val="0"/>
        <w:spacing w:line="360" w:lineRule="auto"/>
        <w:ind w:left="476"/>
        <w:jc w:val="center"/>
        <w:rPr>
          <w:i/>
          <w:sz w:val="20"/>
          <w:szCs w:val="20"/>
        </w:rPr>
      </w:pPr>
      <w:r>
        <w:rPr>
          <w:i/>
        </w:rPr>
        <w:t>« AVIS D'APPEL D'OFFRES NATIONAL OUVERT</w:t>
      </w:r>
    </w:p>
    <w:p>
      <w:pPr>
        <w:pStyle w:val="3"/>
        <w:widowControl w:val="0"/>
        <w:spacing w:line="360" w:lineRule="auto"/>
        <w:ind w:left="476"/>
        <w:jc w:val="center"/>
        <w:rPr>
          <w:i/>
          <w:sz w:val="20"/>
          <w:szCs w:val="20"/>
        </w:rPr>
      </w:pPr>
      <w:r>
        <w:rPr>
          <w:i/>
        </w:rPr>
        <w:t xml:space="preserve">N° 010(bis)/ AONO /C.BBU/SG/SIGAMP/CIPM /2025 DU   </w:t>
      </w:r>
      <w:r>
        <w:rPr>
          <w:i/>
          <w:lang w:val="fr-FR"/>
        </w:rPr>
        <w:t>09/05/2025</w:t>
      </w:r>
      <w:r>
        <w:rPr>
          <w:i/>
        </w:rPr>
        <w:t xml:space="preserve">  POUR LES </w:t>
      </w:r>
      <w:r>
        <w:rPr>
          <w:b/>
          <w:i/>
        </w:rPr>
        <w:t>TRAVAUX D’ACHEVEMENT DU CSI D’EMINEMVOM II DANS LA COMMUNE DE BIWONG BULU, DEPARTEMENT DE LA MVILA, REGION DU SUD</w:t>
      </w:r>
      <w:r>
        <w:rPr>
          <w:i/>
        </w:rPr>
        <w:t>»</w:t>
      </w:r>
    </w:p>
    <w:p>
      <w:pPr>
        <w:pStyle w:val="3"/>
        <w:widowControl w:val="0"/>
        <w:spacing w:line="360" w:lineRule="auto"/>
        <w:ind w:left="476"/>
        <w:jc w:val="center"/>
        <w:rPr>
          <w:b/>
          <w:i/>
          <w:sz w:val="6"/>
          <w:szCs w:val="6"/>
        </w:rPr>
      </w:pPr>
      <w:r>
        <w:rPr>
          <w:b/>
          <w:i/>
        </w:rPr>
        <w:t>« A N’OUVRIR QU’EN SEANCE DE DEPOUILLEMENT»</w:t>
      </w:r>
    </w:p>
    <w:p>
      <w:pPr>
        <w:pStyle w:val="3"/>
        <w:widowControl w:val="0"/>
        <w:numPr>
          <w:ilvl w:val="0"/>
          <w:numId w:val="4"/>
        </w:numPr>
        <w:spacing w:before="120" w:after="120"/>
        <w:rPr>
          <w:sz w:val="28"/>
          <w:szCs w:val="28"/>
        </w:rPr>
      </w:pPr>
      <w:r>
        <w:rPr>
          <w:b/>
          <w:color w:val="000000"/>
          <w:sz w:val="28"/>
          <w:szCs w:val="28"/>
        </w:rPr>
        <w:t xml:space="preserve">Recevabilité des plis </w:t>
      </w:r>
    </w:p>
    <w:p>
      <w:pPr>
        <w:pStyle w:val="3"/>
        <w:widowControl w:val="0"/>
        <w:tabs>
          <w:tab w:val="left" w:pos="0"/>
        </w:tabs>
        <w:spacing w:before="11" w:line="360" w:lineRule="auto"/>
        <w:ind w:firstLine="709"/>
        <w:jc w:val="both"/>
        <w:rPr>
          <w:sz w:val="20"/>
          <w:szCs w:val="20"/>
        </w:rPr>
      </w:pPr>
      <w:r>
        <w:t>Les pièces administratives, l'offre technique et l'offre financière doivent être placées dans des enveloppes différentes séparées et remises sous pli scellé.</w:t>
      </w:r>
    </w:p>
    <w:p>
      <w:pPr>
        <w:pStyle w:val="3"/>
        <w:widowControl w:val="0"/>
        <w:tabs>
          <w:tab w:val="left" w:pos="0"/>
        </w:tabs>
        <w:spacing w:before="11" w:line="360" w:lineRule="auto"/>
        <w:ind w:firstLine="284"/>
        <w:jc w:val="both"/>
        <w:rPr>
          <w:sz w:val="20"/>
          <w:szCs w:val="20"/>
        </w:rPr>
      </w:pPr>
      <w:r>
        <w:t>Seront irrecevables par le Maître d’Ouvrage :</w:t>
      </w:r>
    </w:p>
    <w:p>
      <w:pPr>
        <w:pStyle w:val="3"/>
        <w:numPr>
          <w:ilvl w:val="0"/>
          <w:numId w:val="5"/>
        </w:numPr>
        <w:spacing w:line="360" w:lineRule="auto"/>
        <w:jc w:val="both"/>
      </w:pPr>
      <w:r>
        <w:rPr>
          <w:color w:val="000000"/>
        </w:rPr>
        <w:t>les plis portant les indications sur l'identité du soumissionnaire ;</w:t>
      </w:r>
    </w:p>
    <w:p>
      <w:pPr>
        <w:pStyle w:val="3"/>
        <w:numPr>
          <w:ilvl w:val="0"/>
          <w:numId w:val="5"/>
        </w:numPr>
        <w:spacing w:line="360" w:lineRule="auto"/>
        <w:jc w:val="both"/>
      </w:pPr>
      <w:r>
        <w:rPr>
          <w:color w:val="000000"/>
        </w:rPr>
        <w:t>les plis parvenus postérieurement aux dates et heures limites de dépôt ;</w:t>
      </w:r>
    </w:p>
    <w:p>
      <w:pPr>
        <w:pStyle w:val="3"/>
        <w:widowControl w:val="0"/>
        <w:numPr>
          <w:ilvl w:val="0"/>
          <w:numId w:val="5"/>
        </w:numPr>
        <w:spacing w:line="360" w:lineRule="auto"/>
        <w:jc w:val="both"/>
        <w:rPr>
          <w:i/>
        </w:rPr>
      </w:pPr>
      <w:r>
        <w:rPr>
          <w:i/>
          <w:color w:val="000000"/>
        </w:rPr>
        <w:t>les plis non-conformes au mode de soumission ;</w:t>
      </w:r>
    </w:p>
    <w:p>
      <w:pPr>
        <w:pStyle w:val="3"/>
        <w:widowControl w:val="0"/>
        <w:numPr>
          <w:ilvl w:val="0"/>
          <w:numId w:val="5"/>
        </w:numPr>
        <w:spacing w:after="60" w:line="360" w:lineRule="auto"/>
        <w:ind w:right="81"/>
        <w:jc w:val="both"/>
      </w:pPr>
      <w:bookmarkStart w:id="6" w:name="_2xcytpi" w:colFirst="0" w:colLast="0"/>
      <w:bookmarkEnd w:id="6"/>
      <w:r>
        <w:rPr>
          <w:color w:val="000000"/>
        </w:rPr>
        <w:t>les plis sans indication de l’identité de l’Appel d’Offres ;</w:t>
      </w:r>
    </w:p>
    <w:p>
      <w:pPr>
        <w:pStyle w:val="3"/>
        <w:numPr>
          <w:ilvl w:val="0"/>
          <w:numId w:val="5"/>
        </w:numPr>
        <w:spacing w:line="244" w:lineRule="auto"/>
        <w:ind w:right="81"/>
        <w:jc w:val="both"/>
      </w:pPr>
      <w:r>
        <w:rPr>
          <w:color w:val="000000"/>
        </w:rPr>
        <w:t xml:space="preserve">le non-respect du nombre d’exemplaires indiqué dans le RPAO ou offre uniquement en copies.  </w:t>
      </w:r>
    </w:p>
    <w:p>
      <w:pPr>
        <w:pStyle w:val="3"/>
        <w:widowControl w:val="0"/>
        <w:spacing w:after="60" w:line="360" w:lineRule="auto"/>
        <w:ind w:left="360" w:right="81"/>
        <w:jc w:val="both"/>
        <w:rPr>
          <w:strike/>
          <w:sz w:val="20"/>
          <w:szCs w:val="20"/>
        </w:rPr>
      </w:pPr>
      <w:bookmarkStart w:id="7" w:name="_1ci93xb" w:colFirst="0" w:colLast="0"/>
      <w:bookmarkEnd w:id="7"/>
      <w:r>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Pr>
          <w:b/>
          <w:u w:val="single"/>
        </w:rPr>
        <w:t xml:space="preserve"> </w:t>
      </w:r>
      <w:r>
        <w:t xml:space="preserve">Une caution de soumission produite mais n'ayant aucun rapport avec la consultation concernée est considérée comme absente. La caution de soumission présentée par un soumissionnaire au cours de la séance d’ouverture des plis est irrecevable.  </w:t>
      </w:r>
    </w:p>
    <w:p>
      <w:pPr>
        <w:pStyle w:val="3"/>
        <w:widowControl w:val="0"/>
        <w:numPr>
          <w:ilvl w:val="0"/>
          <w:numId w:val="4"/>
        </w:numPr>
        <w:spacing w:before="120" w:after="120"/>
        <w:rPr>
          <w:sz w:val="28"/>
          <w:szCs w:val="28"/>
        </w:rPr>
      </w:pPr>
      <w:r>
        <w:rPr>
          <w:b/>
          <w:color w:val="000000"/>
          <w:sz w:val="28"/>
          <w:szCs w:val="28"/>
        </w:rPr>
        <w:t>Ouverture des plis</w:t>
      </w:r>
    </w:p>
    <w:p>
      <w:pPr>
        <w:pStyle w:val="3"/>
        <w:widowControl w:val="0"/>
        <w:spacing w:line="360" w:lineRule="auto"/>
        <w:jc w:val="both"/>
        <w:rPr>
          <w:b/>
          <w:i/>
          <w:smallCaps/>
        </w:rPr>
      </w:pPr>
      <w:r>
        <w:t xml:space="preserve">L’ouverture des plis se fera en un (01) temps. L’ouverture des Offres Administratives, Techniques et Financières aura lieu le  </w:t>
      </w:r>
      <w:r>
        <w:rPr>
          <w:lang w:val="fr-FR"/>
        </w:rPr>
        <w:t>10/06/2025</w:t>
      </w:r>
      <w:r>
        <w:t xml:space="preserve"> à 1</w:t>
      </w:r>
      <w:r>
        <w:rPr>
          <w:lang w:val="fr-FR"/>
        </w:rPr>
        <w:t>5</w:t>
      </w:r>
      <w:r>
        <w:t xml:space="preserve"> Heures précises, heure locale, exceptionnellement à  à la salle des conférences de la Préfecture d’Ebolowa.</w:t>
      </w:r>
    </w:p>
    <w:p>
      <w:pPr>
        <w:pStyle w:val="3"/>
        <w:widowControl w:val="0"/>
        <w:spacing w:line="360" w:lineRule="auto"/>
        <w:jc w:val="both"/>
        <w:rPr>
          <w:b/>
          <w:i/>
          <w:smallCaps/>
        </w:rPr>
      </w:pPr>
      <w:r>
        <w:t>Seuls les soumissionnaires peuvent assister à cette séance d'ouverture ou s'y faire représenter par une seule personne de leur choix dûment mandatée même en cas de groupement d’entreprises.</w:t>
      </w:r>
    </w:p>
    <w:p>
      <w:pPr>
        <w:pStyle w:val="3"/>
        <w:widowControl w:val="0"/>
        <w:spacing w:line="360" w:lineRule="auto"/>
        <w:jc w:val="both"/>
        <w:rPr>
          <w:b/>
          <w:i/>
          <w:smallCaps/>
        </w:rPr>
      </w:pPr>
      <w: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pPr>
        <w:pStyle w:val="3"/>
        <w:widowControl w:val="0"/>
        <w:spacing w:line="360" w:lineRule="auto"/>
        <w:jc w:val="both"/>
        <w:rPr>
          <w:b/>
          <w:sz w:val="20"/>
          <w:szCs w:val="20"/>
        </w:rPr>
      </w:pPr>
      <w:r>
        <w:rPr>
          <w:b/>
        </w:rPr>
        <w:t>Sous peine de rejet, les pièces du dossier administratif requises doivent être produites en originaux ou en copies certifiées conformes par le service émetteur ou l’autorité administrative compétente</w:t>
      </w:r>
      <w:r>
        <w:rPr>
          <w:b/>
          <w:strike/>
        </w:rPr>
        <w:t>,</w:t>
      </w:r>
      <w:r>
        <w:rPr>
          <w:b/>
        </w:rPr>
        <w:t xml:space="preserve"> conformément aux dispositions du Règlement Particulier de l’Appel d’Offres. Elles doivent dater de moins de trois (03) mois ou avoir été établies postérieurement à la date de signature de l’avis de D’Appel d’Offres</w:t>
      </w:r>
    </w:p>
    <w:p>
      <w:pPr>
        <w:pStyle w:val="3"/>
        <w:widowControl w:val="0"/>
        <w:spacing w:line="360" w:lineRule="auto"/>
        <w:jc w:val="both"/>
        <w:rPr>
          <w:b/>
          <w:sz w:val="12"/>
          <w:szCs w:val="12"/>
        </w:rPr>
      </w:pPr>
    </w:p>
    <w:p>
      <w:pPr>
        <w:pStyle w:val="3"/>
        <w:widowControl w:val="0"/>
        <w:spacing w:line="360" w:lineRule="auto"/>
        <w:jc w:val="both"/>
        <w:rPr>
          <w:sz w:val="20"/>
          <w:szCs w:val="20"/>
        </w:rPr>
      </w:pPr>
      <w:bookmarkStart w:id="8" w:name="_3whwml4" w:colFirst="0" w:colLast="0"/>
      <w:bookmarkEnd w:id="8"/>
      <w:r>
        <w:t>En cas d’absence ou de non-conformité d’une pièce du dossier administratif lors de l’ouverture des plis, après un délai de 48 heures accordées par la Commission, l'offre sera rejetée.</w:t>
      </w:r>
    </w:p>
    <w:p>
      <w:pPr>
        <w:pStyle w:val="3"/>
        <w:widowControl w:val="0"/>
        <w:numPr>
          <w:ilvl w:val="0"/>
          <w:numId w:val="4"/>
        </w:numPr>
        <w:spacing w:before="120" w:after="120"/>
        <w:rPr>
          <w:sz w:val="28"/>
          <w:szCs w:val="28"/>
        </w:rPr>
      </w:pPr>
      <w:r>
        <w:rPr>
          <w:b/>
          <w:color w:val="000000"/>
          <w:sz w:val="28"/>
          <w:szCs w:val="28"/>
        </w:rPr>
        <w:t>Critères d’évaluation</w:t>
      </w:r>
    </w:p>
    <w:p>
      <w:pPr>
        <w:pStyle w:val="3"/>
        <w:widowControl w:val="0"/>
        <w:spacing w:line="360" w:lineRule="auto"/>
        <w:jc w:val="both"/>
        <w:rPr>
          <w:b/>
          <w:i/>
          <w:smallCaps/>
        </w:rPr>
      </w:pPr>
      <w:r>
        <w:rPr>
          <w:b/>
        </w:rPr>
        <w:t>15.1 Critères éliminatoires</w:t>
      </w:r>
    </w:p>
    <w:p>
      <w:pPr>
        <w:pStyle w:val="3"/>
        <w:widowControl w:val="0"/>
        <w:ind w:firstLine="352"/>
        <w:jc w:val="both"/>
        <w:rPr>
          <w:rFonts w:ascii="Twentieth Century" w:hAnsi="Twentieth Century" w:eastAsia="Twentieth Century" w:cs="Twentieth Century"/>
          <w:sz w:val="20"/>
          <w:szCs w:val="20"/>
        </w:rPr>
      </w:pPr>
      <w:r>
        <w:rPr>
          <w:rFonts w:ascii="Twentieth Century" w:hAnsi="Twentieth Century" w:eastAsia="Twentieth Century" w:cs="Twentieth Century"/>
        </w:rPr>
        <w:t>Les critères éliminatoires fixent les conditions minimales à remplir pour être admis à l’évaluation suivant les critères essentiels. Le non-respect de l’un de ces critères entraîne le rejet de l’offre du Soumissionnaire.</w:t>
      </w:r>
    </w:p>
    <w:p>
      <w:pPr>
        <w:pStyle w:val="3"/>
        <w:widowControl w:val="0"/>
        <w:spacing w:before="19" w:line="360" w:lineRule="auto"/>
        <w:ind w:left="114" w:hanging="114"/>
        <w:jc w:val="both"/>
        <w:rPr>
          <w:sz w:val="20"/>
          <w:szCs w:val="20"/>
        </w:rPr>
      </w:pPr>
      <w:r>
        <w:t>Il s'agit notamment:</w:t>
      </w:r>
    </w:p>
    <w:p>
      <w:pPr>
        <w:pStyle w:val="3"/>
        <w:widowControl w:val="0"/>
        <w:numPr>
          <w:ilvl w:val="0"/>
          <w:numId w:val="6"/>
        </w:numPr>
        <w:spacing w:before="29" w:line="360" w:lineRule="auto"/>
        <w:jc w:val="both"/>
        <w:rPr>
          <w:color w:val="000000"/>
        </w:rPr>
      </w:pPr>
      <w:r>
        <w:rPr>
          <w:color w:val="000000"/>
        </w:rPr>
        <w:t>de l’absence du cautionnement de soumission à l’ouverture des plis;</w:t>
      </w:r>
    </w:p>
    <w:p>
      <w:pPr>
        <w:pStyle w:val="3"/>
        <w:widowControl w:val="0"/>
        <w:numPr>
          <w:ilvl w:val="0"/>
          <w:numId w:val="6"/>
        </w:numPr>
        <w:spacing w:line="360" w:lineRule="auto"/>
        <w:jc w:val="both"/>
        <w:rPr>
          <w:color w:val="000000"/>
        </w:rPr>
      </w:pPr>
      <w:r>
        <w:rPr>
          <w:color w:val="000000"/>
        </w:rPr>
        <w:t xml:space="preserve">de la non -production au-delà du délai de 48 h après l’ouverture des plis, d’une pièce du dossier administratif jugée non conforme ou absente lors de l’ouverture des plis, (excepté le cautionnement de soumission); </w:t>
      </w:r>
    </w:p>
    <w:p>
      <w:pPr>
        <w:pStyle w:val="3"/>
        <w:widowControl w:val="0"/>
        <w:numPr>
          <w:ilvl w:val="0"/>
          <w:numId w:val="6"/>
        </w:numPr>
        <w:spacing w:before="29" w:line="360" w:lineRule="auto"/>
        <w:jc w:val="both"/>
        <w:rPr>
          <w:color w:val="000000"/>
        </w:rPr>
      </w:pPr>
      <w:r>
        <w:rPr>
          <w:color w:val="000000"/>
        </w:rPr>
        <w:t>des fausses déclarations, manœuvres frauduleuses ou des pièces falsifiées ;</w:t>
      </w:r>
    </w:p>
    <w:p>
      <w:pPr>
        <w:pStyle w:val="3"/>
        <w:widowControl w:val="0"/>
        <w:numPr>
          <w:ilvl w:val="0"/>
          <w:numId w:val="6"/>
        </w:numPr>
        <w:spacing w:line="360" w:lineRule="auto"/>
        <w:jc w:val="both"/>
        <w:rPr>
          <w:color w:val="000000"/>
        </w:rPr>
      </w:pPr>
      <w:r>
        <w:rPr>
          <w:color w:val="000000"/>
        </w:rPr>
        <w:t>du non-respect de 70% critères essentiels,80% renvoyant au seuil de qualification des offres techniques)</w:t>
      </w:r>
    </w:p>
    <w:p>
      <w:pPr>
        <w:pStyle w:val="3"/>
        <w:widowControl w:val="0"/>
        <w:numPr>
          <w:ilvl w:val="0"/>
          <w:numId w:val="6"/>
        </w:numPr>
        <w:spacing w:line="360" w:lineRule="auto"/>
        <w:jc w:val="both"/>
        <w:rPr>
          <w:i/>
          <w:color w:val="000000"/>
        </w:rPr>
      </w:pPr>
      <w:r>
        <w:rPr>
          <w:i/>
          <w:color w:val="000000"/>
        </w:rPr>
        <w:t>de l’absence de la déclaration sur l’honneur de non abandon des chantiers au cours des trois dernières années ;</w:t>
      </w:r>
    </w:p>
    <w:p>
      <w:pPr>
        <w:pStyle w:val="3"/>
        <w:widowControl w:val="0"/>
        <w:numPr>
          <w:ilvl w:val="0"/>
          <w:numId w:val="6"/>
        </w:numPr>
        <w:spacing w:line="360" w:lineRule="auto"/>
        <w:jc w:val="both"/>
        <w:rPr>
          <w:i/>
          <w:color w:val="000000"/>
        </w:rPr>
      </w:pPr>
      <w:r>
        <w:rPr>
          <w:i/>
          <w:color w:val="000000"/>
        </w:rPr>
        <w:t>du non-respect du format de fichier des offres ;</w:t>
      </w:r>
    </w:p>
    <w:p>
      <w:pPr>
        <w:pStyle w:val="3"/>
        <w:widowControl w:val="0"/>
        <w:numPr>
          <w:ilvl w:val="0"/>
          <w:numId w:val="6"/>
        </w:numPr>
        <w:spacing w:line="360" w:lineRule="auto"/>
        <w:jc w:val="both"/>
        <w:rPr>
          <w:i/>
          <w:color w:val="000000"/>
        </w:rPr>
      </w:pPr>
      <w:r>
        <w:rPr>
          <w:i/>
          <w:color w:val="000000"/>
        </w:rPr>
        <w:t>de l’absence d’un prix unitaire quantifié dans l’Offre financière ;</w:t>
      </w:r>
    </w:p>
    <w:p>
      <w:pPr>
        <w:pStyle w:val="3"/>
        <w:widowControl w:val="0"/>
        <w:numPr>
          <w:ilvl w:val="0"/>
          <w:numId w:val="6"/>
        </w:numPr>
        <w:spacing w:before="29" w:line="360" w:lineRule="auto"/>
        <w:jc w:val="both"/>
        <w:rPr>
          <w:color w:val="000000"/>
        </w:rPr>
      </w:pPr>
      <w:r>
        <w:rPr>
          <w:color w:val="000000"/>
        </w:rPr>
        <w:t xml:space="preserve">de l’absence de possession en propre ou en location d’un matériel minimum (à préciser par le Maître d’Ouvrage) </w:t>
      </w:r>
    </w:p>
    <w:p>
      <w:pPr>
        <w:pStyle w:val="3"/>
        <w:widowControl w:val="0"/>
        <w:numPr>
          <w:ilvl w:val="0"/>
          <w:numId w:val="7"/>
        </w:numPr>
        <w:spacing w:after="60" w:line="360" w:lineRule="auto"/>
        <w:ind w:left="720" w:hanging="360"/>
        <w:jc w:val="both"/>
      </w:pPr>
      <w:r>
        <w:rPr>
          <w:color w:val="000000"/>
        </w:rPr>
        <w:t xml:space="preserve">de l’absence de l’attestation de catégorisation le cas échéant ;  </w:t>
      </w:r>
    </w:p>
    <w:p>
      <w:pPr>
        <w:pStyle w:val="3"/>
        <w:widowControl w:val="0"/>
        <w:numPr>
          <w:ilvl w:val="0"/>
          <w:numId w:val="7"/>
        </w:numPr>
        <w:spacing w:after="60" w:line="360" w:lineRule="auto"/>
        <w:ind w:left="720" w:hanging="360"/>
        <w:jc w:val="both"/>
      </w:pPr>
      <w:r>
        <w:rPr>
          <w:color w:val="000000"/>
        </w:rPr>
        <w:t xml:space="preserve">de l’absence d’un élément de l’offre financière (la soumission, les BPU, le DQE) ; </w:t>
      </w:r>
    </w:p>
    <w:p>
      <w:pPr>
        <w:pStyle w:val="3"/>
        <w:numPr>
          <w:ilvl w:val="0"/>
          <w:numId w:val="7"/>
        </w:numPr>
        <w:spacing w:line="244" w:lineRule="auto"/>
        <w:ind w:left="720" w:hanging="360"/>
      </w:pPr>
      <w:bookmarkStart w:id="9" w:name="_2bn6wsx" w:colFirst="0" w:colLast="0"/>
      <w:bookmarkEnd w:id="9"/>
      <w:r>
        <w:rPr>
          <w:color w:val="000000"/>
        </w:rPr>
        <w:t>de l’absence de la charte d’intégrité datée et signée ;</w:t>
      </w:r>
    </w:p>
    <w:p>
      <w:pPr>
        <w:pStyle w:val="3"/>
        <w:numPr>
          <w:ilvl w:val="0"/>
          <w:numId w:val="7"/>
        </w:numPr>
        <w:spacing w:line="244" w:lineRule="auto"/>
        <w:ind w:left="720" w:hanging="360"/>
      </w:pPr>
      <w:r>
        <w:rPr>
          <w:color w:val="000000"/>
        </w:rPr>
        <w:t>de l’absence de la déclaration d’engagement au respect des clauses environnementales et sociales datée et signée ;</w:t>
      </w:r>
    </w:p>
    <w:p>
      <w:pPr>
        <w:pStyle w:val="3"/>
        <w:widowControl w:val="0"/>
        <w:spacing w:before="29" w:line="360" w:lineRule="auto"/>
        <w:jc w:val="both"/>
      </w:pPr>
      <w:r>
        <w:rPr>
          <w:b/>
        </w:rPr>
        <w:t>NB</w:t>
      </w:r>
      <w:r>
        <w:t> : En fonction de la spécificité de la prestation, d’autres critères pertinents pourront être ajouté lors de l’élaboration des DAO.</w:t>
      </w:r>
    </w:p>
    <w:p>
      <w:pPr>
        <w:pStyle w:val="3"/>
        <w:widowControl w:val="0"/>
        <w:spacing w:before="29" w:line="360" w:lineRule="auto"/>
        <w:jc w:val="both"/>
        <w:rPr>
          <w:b/>
          <w:i/>
          <w:smallCaps/>
        </w:rPr>
      </w:pPr>
      <w:r>
        <w:rPr>
          <w:b/>
        </w:rPr>
        <w:t>15.2. Critères essentiels</w:t>
      </w:r>
    </w:p>
    <w:p>
      <w:pPr>
        <w:pStyle w:val="3"/>
        <w:widowControl w:val="0"/>
        <w:spacing w:after="120" w:line="360" w:lineRule="auto"/>
        <w:jc w:val="both"/>
        <w:rPr>
          <w:i/>
          <w:sz w:val="12"/>
          <w:szCs w:val="12"/>
        </w:rPr>
      </w:pPr>
      <w:r>
        <w:t>Les critères essentiels à la qualification des soumissionnaires porteront à titre indicatif sur :</w:t>
      </w:r>
    </w:p>
    <w:tbl>
      <w:tblPr>
        <w:tblStyle w:val="26"/>
        <w:tblW w:w="8675" w:type="dxa"/>
        <w:tblInd w:w="114" w:type="dxa"/>
        <w:tblLayout w:type="fixed"/>
        <w:tblCellMar>
          <w:top w:w="0" w:type="dxa"/>
          <w:left w:w="0" w:type="dxa"/>
          <w:bottom w:w="0" w:type="dxa"/>
          <w:right w:w="0" w:type="dxa"/>
        </w:tblCellMar>
      </w:tblPr>
      <w:tblGrid>
        <w:gridCol w:w="8675"/>
      </w:tblGrid>
      <w:tr>
        <w:tblPrEx>
          <w:tblLayout w:type="fixed"/>
        </w:tblPrEx>
        <w:trPr>
          <w:cantSplit/>
          <w:trHeight w:val="1929" w:hRule="atLeast"/>
          <w:tblHeader/>
        </w:trPr>
        <w:tc>
          <w:tcPr>
            <w:tcW w:w="8675" w:type="dxa"/>
            <w:shd w:val="clear" w:color="auto" w:fill="auto"/>
            <w:tcMar>
              <w:top w:w="0" w:type="dxa"/>
              <w:left w:w="0" w:type="dxa"/>
              <w:bottom w:w="0" w:type="dxa"/>
              <w:right w:w="0" w:type="dxa"/>
            </w:tcMar>
          </w:tcPr>
          <w:p>
            <w:pPr>
              <w:pStyle w:val="3"/>
              <w:widowControl w:val="0"/>
              <w:numPr>
                <w:ilvl w:val="0"/>
                <w:numId w:val="8"/>
              </w:numPr>
              <w:spacing w:before="44" w:line="276" w:lineRule="auto"/>
              <w:ind w:left="720" w:hanging="360"/>
              <w:jc w:val="both"/>
              <w:rPr>
                <w:color w:val="000000"/>
              </w:rPr>
            </w:pPr>
            <w:r>
              <w:rPr>
                <w:color w:val="000000"/>
              </w:rPr>
              <w:t>la présentation de l’offre ;</w:t>
            </w:r>
          </w:p>
          <w:p>
            <w:pPr>
              <w:pStyle w:val="3"/>
              <w:widowControl w:val="0"/>
              <w:numPr>
                <w:ilvl w:val="0"/>
                <w:numId w:val="8"/>
              </w:numPr>
              <w:spacing w:before="44" w:line="276" w:lineRule="auto"/>
              <w:ind w:left="720" w:hanging="360"/>
              <w:jc w:val="both"/>
              <w:rPr>
                <w:color w:val="000000"/>
              </w:rPr>
            </w:pPr>
            <w:r>
              <w:rPr>
                <w:color w:val="000000"/>
              </w:rPr>
              <w:t>les références du soumissionnaire ;</w:t>
            </w:r>
          </w:p>
          <w:p>
            <w:pPr>
              <w:pStyle w:val="3"/>
              <w:widowControl w:val="0"/>
              <w:numPr>
                <w:ilvl w:val="0"/>
                <w:numId w:val="8"/>
              </w:numPr>
              <w:spacing w:before="44" w:line="276" w:lineRule="auto"/>
              <w:ind w:left="720" w:hanging="360"/>
              <w:jc w:val="both"/>
              <w:rPr>
                <w:color w:val="000000"/>
              </w:rPr>
            </w:pPr>
            <w:r>
              <w:rPr>
                <w:color w:val="000000"/>
              </w:rPr>
              <w:t>la capacité financière (l’accès à une ligne de crédit ou autres ressources financières, le chiffre d’affaires, attestation de solvabilité financière) ;</w:t>
            </w:r>
          </w:p>
          <w:p>
            <w:pPr>
              <w:pStyle w:val="3"/>
              <w:widowControl w:val="0"/>
              <w:numPr>
                <w:ilvl w:val="0"/>
                <w:numId w:val="8"/>
              </w:numPr>
              <w:spacing w:before="44" w:line="276" w:lineRule="auto"/>
              <w:ind w:left="720" w:hanging="360"/>
              <w:jc w:val="both"/>
              <w:rPr>
                <w:color w:val="000000"/>
              </w:rPr>
            </w:pPr>
            <w:r>
              <w:rPr>
                <w:color w:val="000000"/>
              </w:rPr>
              <w:t xml:space="preserve">la qualification et l’expérience du personnel ; </w:t>
            </w:r>
          </w:p>
          <w:p>
            <w:pPr>
              <w:pStyle w:val="3"/>
              <w:widowControl w:val="0"/>
              <w:numPr>
                <w:ilvl w:val="0"/>
                <w:numId w:val="8"/>
              </w:numPr>
              <w:spacing w:before="44" w:line="276" w:lineRule="auto"/>
              <w:ind w:left="720" w:hanging="360"/>
              <w:jc w:val="both"/>
              <w:rPr>
                <w:color w:val="000000"/>
              </w:rPr>
            </w:pPr>
            <w:r>
              <w:rPr>
                <w:color w:val="000000"/>
              </w:rPr>
              <w:t xml:space="preserve">les moyens logistiques ; </w:t>
            </w:r>
          </w:p>
          <w:p>
            <w:pPr>
              <w:pStyle w:val="3"/>
              <w:widowControl w:val="0"/>
              <w:numPr>
                <w:ilvl w:val="0"/>
                <w:numId w:val="8"/>
              </w:numPr>
              <w:spacing w:before="44" w:line="276" w:lineRule="auto"/>
              <w:ind w:left="720" w:hanging="360"/>
              <w:jc w:val="both"/>
              <w:rPr>
                <w:color w:val="000000"/>
              </w:rPr>
            </w:pPr>
            <w:r>
              <w:rPr>
                <w:color w:val="000000"/>
              </w:rPr>
              <w:t>la méthodologie.</w:t>
            </w:r>
          </w:p>
          <w:p>
            <w:pPr>
              <w:pStyle w:val="3"/>
              <w:widowControl w:val="0"/>
              <w:numPr>
                <w:ilvl w:val="0"/>
                <w:numId w:val="8"/>
              </w:numPr>
              <w:spacing w:before="44" w:line="276" w:lineRule="auto"/>
              <w:ind w:left="720" w:hanging="360"/>
              <w:jc w:val="both"/>
              <w:rPr>
                <w:color w:val="000000"/>
              </w:rPr>
            </w:pPr>
            <w:r>
              <w:rPr>
                <w:color w:val="000000"/>
              </w:rPr>
              <w:t>les preuves d’acceptation des conditions de marché</w:t>
            </w:r>
          </w:p>
        </w:tc>
      </w:tr>
    </w:tbl>
    <w:p>
      <w:pPr>
        <w:pStyle w:val="3"/>
        <w:widowControl w:val="0"/>
        <w:numPr>
          <w:ilvl w:val="0"/>
          <w:numId w:val="4"/>
        </w:numPr>
        <w:spacing w:before="120" w:after="120"/>
        <w:rPr>
          <w:sz w:val="28"/>
          <w:szCs w:val="28"/>
        </w:rPr>
      </w:pPr>
      <w:r>
        <w:rPr>
          <w:b/>
          <w:color w:val="000000"/>
          <w:sz w:val="28"/>
          <w:szCs w:val="28"/>
        </w:rPr>
        <w:t>Attribution</w:t>
      </w:r>
    </w:p>
    <w:p>
      <w:pPr>
        <w:pStyle w:val="3"/>
        <w:widowControl w:val="0"/>
        <w:spacing w:line="360" w:lineRule="auto"/>
        <w:jc w:val="both"/>
        <w:rPr>
          <w:i/>
          <w:sz w:val="20"/>
          <w:szCs w:val="20"/>
        </w:rPr>
      </w:pPr>
      <w:r>
        <w:t>Le Maitre d’Ouvrage attribue le marché au soumissionnaire ayant présenté une offre remplissant les critères de qualification technique et financière requises, dont l’offre est évaluée la moins-disante</w:t>
      </w:r>
      <w:r>
        <w:rPr>
          <w:i/>
        </w:rPr>
        <w:t xml:space="preserve"> </w:t>
      </w:r>
    </w:p>
    <w:p>
      <w:pPr>
        <w:pStyle w:val="3"/>
        <w:widowControl w:val="0"/>
        <w:spacing w:line="360" w:lineRule="auto"/>
        <w:jc w:val="both"/>
        <w:rPr>
          <w:i/>
          <w:sz w:val="2"/>
          <w:szCs w:val="2"/>
        </w:rPr>
      </w:pPr>
    </w:p>
    <w:p>
      <w:pPr>
        <w:pStyle w:val="3"/>
        <w:widowControl w:val="0"/>
        <w:numPr>
          <w:ilvl w:val="0"/>
          <w:numId w:val="4"/>
        </w:numPr>
        <w:spacing w:before="120" w:after="120"/>
        <w:rPr>
          <w:sz w:val="28"/>
          <w:szCs w:val="28"/>
        </w:rPr>
      </w:pPr>
      <w:r>
        <w:rPr>
          <w:b/>
          <w:color w:val="000000"/>
          <w:sz w:val="28"/>
          <w:szCs w:val="28"/>
        </w:rPr>
        <w:t xml:space="preserve">Nombre maximum de lots : </w:t>
      </w:r>
    </w:p>
    <w:p>
      <w:pPr>
        <w:pStyle w:val="3"/>
        <w:widowControl w:val="0"/>
        <w:spacing w:before="19" w:line="360" w:lineRule="auto"/>
        <w:jc w:val="both"/>
      </w:pPr>
      <w:r>
        <w:t>Les travaux sont en un seul lot unique</w:t>
      </w:r>
    </w:p>
    <w:p>
      <w:pPr>
        <w:pStyle w:val="3"/>
        <w:widowControl w:val="0"/>
        <w:numPr>
          <w:ilvl w:val="0"/>
          <w:numId w:val="4"/>
        </w:numPr>
        <w:spacing w:before="120" w:after="120"/>
        <w:rPr>
          <w:sz w:val="28"/>
          <w:szCs w:val="28"/>
        </w:rPr>
      </w:pPr>
      <w:r>
        <w:rPr>
          <w:b/>
          <w:color w:val="000000"/>
          <w:sz w:val="28"/>
          <w:szCs w:val="28"/>
        </w:rPr>
        <w:t>Durée de validité des offres</w:t>
      </w:r>
    </w:p>
    <w:p>
      <w:pPr>
        <w:pStyle w:val="3"/>
        <w:widowControl w:val="0"/>
        <w:spacing w:before="11" w:line="360" w:lineRule="auto"/>
        <w:jc w:val="both"/>
        <w:rPr>
          <w:b/>
          <w:i/>
          <w:smallCaps/>
        </w:rPr>
      </w:pPr>
      <w:r>
        <w:t xml:space="preserve">Les soumissionnaires restent engagés par leur offre pendant </w:t>
      </w:r>
      <w:r>
        <w:rPr>
          <w:i/>
        </w:rPr>
        <w:t>90 jours à</w:t>
      </w:r>
      <w:r>
        <w:t xml:space="preserve"> partir de la date limite initiale fixée pour la remise des offres.</w:t>
      </w:r>
    </w:p>
    <w:p>
      <w:pPr>
        <w:pStyle w:val="3"/>
        <w:widowControl w:val="0"/>
        <w:numPr>
          <w:ilvl w:val="0"/>
          <w:numId w:val="4"/>
        </w:numPr>
        <w:spacing w:before="120" w:after="120"/>
        <w:rPr>
          <w:sz w:val="28"/>
          <w:szCs w:val="28"/>
        </w:rPr>
      </w:pPr>
      <w:r>
        <w:rPr>
          <w:b/>
          <w:color w:val="000000"/>
          <w:sz w:val="28"/>
          <w:szCs w:val="28"/>
        </w:rPr>
        <w:t>Renseignements complémentaires</w:t>
      </w:r>
    </w:p>
    <w:p>
      <w:pPr>
        <w:pStyle w:val="3"/>
        <w:widowControl w:val="0"/>
        <w:spacing w:before="11" w:line="360" w:lineRule="auto"/>
        <w:jc w:val="both"/>
        <w:rPr>
          <w:color w:val="000000"/>
          <w:sz w:val="20"/>
          <w:szCs w:val="20"/>
          <w:u w:val="single"/>
        </w:rPr>
      </w:pPr>
      <w:r>
        <w:t>Les renseignements complémentaires peuvent être obtenus aux heures ouvrables à la Commune de Biwong-Bulu (SIGAMP)</w:t>
      </w:r>
      <w:r>
        <w:rPr>
          <w:i/>
        </w:rPr>
        <w:t>,  BP 657 , tel 683689096 – 699 60 11 38 .</w:t>
      </w:r>
    </w:p>
    <w:p>
      <w:pPr>
        <w:pStyle w:val="3"/>
        <w:widowControl w:val="0"/>
        <w:numPr>
          <w:ilvl w:val="0"/>
          <w:numId w:val="4"/>
        </w:numPr>
        <w:spacing w:before="120" w:after="120"/>
        <w:rPr>
          <w:sz w:val="28"/>
          <w:szCs w:val="28"/>
        </w:rPr>
      </w:pPr>
      <w:r>
        <w:rPr>
          <w:b/>
          <w:color w:val="000000"/>
          <w:sz w:val="28"/>
          <w:szCs w:val="28"/>
        </w:rPr>
        <w:t>Lutte contre la corruption et les mauvaises pratiques</w:t>
      </w:r>
    </w:p>
    <w:p>
      <w:pPr>
        <w:pStyle w:val="3"/>
        <w:widowControl w:val="0"/>
        <w:spacing w:before="11" w:line="360" w:lineRule="auto"/>
        <w:jc w:val="both"/>
        <w:rPr>
          <w:b/>
          <w:i/>
          <w:smallCaps/>
        </w:rPr>
      </w:pPr>
      <w: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MO/MOD au numéro 672726077</w:t>
      </w:r>
    </w:p>
    <w:p>
      <w:pPr>
        <w:pStyle w:val="3"/>
        <w:widowControl w:val="0"/>
        <w:spacing w:before="11" w:line="360" w:lineRule="auto"/>
        <w:jc w:val="both"/>
        <w:rPr>
          <w:sz w:val="2"/>
          <w:szCs w:val="2"/>
        </w:rPr>
      </w:pPr>
    </w:p>
    <w:p>
      <w:pPr>
        <w:pStyle w:val="3"/>
        <w:widowControl w:val="0"/>
        <w:ind w:left="3600" w:firstLine="720"/>
        <w:jc w:val="both"/>
        <w:rPr>
          <w:b/>
          <w:i/>
          <w:smallCaps/>
        </w:rPr>
      </w:pPr>
      <w:r>
        <w:rPr>
          <w:i/>
        </w:rPr>
        <w:t xml:space="preserve">                               </w:t>
      </w:r>
      <w:r>
        <w:rPr>
          <w:i/>
          <w:lang w:val="fr-FR"/>
        </w:rPr>
        <w:t xml:space="preserve">  </w:t>
      </w:r>
      <w:r>
        <w:rPr>
          <w:i/>
        </w:rPr>
        <w:t xml:space="preserve">  BIWONG-BULU LE </w:t>
      </w:r>
    </w:p>
    <w:p>
      <w:pPr>
        <w:pStyle w:val="3"/>
        <w:widowControl w:val="0"/>
        <w:ind w:left="3600" w:firstLine="720"/>
        <w:jc w:val="both"/>
        <w:rPr>
          <w:i/>
        </w:rPr>
      </w:pPr>
      <w:r>
        <w:rPr>
          <w:i/>
        </w:rPr>
        <w:t xml:space="preserve">                                         LE MAIRE </w:t>
      </w:r>
    </w:p>
    <w:p>
      <w:pPr>
        <w:pStyle w:val="3"/>
        <w:widowControl w:val="0"/>
        <w:ind w:left="3600" w:firstLine="720"/>
        <w:jc w:val="both"/>
        <w:rPr>
          <w:i/>
        </w:rPr>
      </w:pPr>
    </w:p>
    <w:p>
      <w:pPr>
        <w:pStyle w:val="3"/>
        <w:widowControl w:val="0"/>
        <w:ind w:left="3600" w:firstLine="720"/>
        <w:jc w:val="both"/>
        <w:rPr>
          <w:i/>
        </w:rPr>
      </w:pPr>
      <w:r>
        <w:rPr>
          <w:i/>
        </w:rPr>
        <w:t xml:space="preserve">                                   Maître d’Ouvrage </w:t>
      </w:r>
    </w:p>
    <w:p>
      <w:pPr>
        <w:pStyle w:val="3"/>
        <w:widowControl w:val="0"/>
        <w:ind w:left="3600" w:firstLine="720"/>
        <w:jc w:val="both"/>
        <w:rPr>
          <w:i/>
          <w:lang w:val="fr-FR"/>
        </w:rPr>
      </w:pPr>
      <w:r>
        <w:rPr>
          <w:i/>
          <w:lang w:val="fr-FR"/>
        </w:rPr>
        <w:t xml:space="preserve">                        (e)Ebia Ndongo Samuel</w:t>
      </w:r>
    </w:p>
    <w:p>
      <w:pPr>
        <w:pStyle w:val="3"/>
        <w:widowControl w:val="0"/>
        <w:spacing w:before="73" w:line="360" w:lineRule="auto"/>
        <w:jc w:val="both"/>
        <w:rPr>
          <w:b/>
          <w:i/>
          <w:smallCaps/>
        </w:rPr>
      </w:pPr>
      <w:r>
        <w:rPr>
          <w:b/>
          <w:i/>
          <w:u w:val="single"/>
        </w:rPr>
        <w:t>Copies :</w:t>
      </w:r>
    </w:p>
    <w:p>
      <w:pPr>
        <w:pStyle w:val="3"/>
        <w:widowControl w:val="0"/>
        <w:numPr>
          <w:ilvl w:val="0"/>
          <w:numId w:val="9"/>
        </w:numPr>
        <w:spacing w:line="360" w:lineRule="auto"/>
        <w:ind w:left="357" w:hanging="357"/>
        <w:jc w:val="both"/>
        <w:rPr>
          <w:b/>
          <w:color w:val="000000"/>
        </w:rPr>
      </w:pPr>
      <w:r>
        <w:rPr>
          <w:b/>
          <w:color w:val="000000"/>
        </w:rPr>
        <w:t>Autorité chargée des Marchés Publics (MINMAP)</w:t>
      </w:r>
    </w:p>
    <w:p>
      <w:pPr>
        <w:pStyle w:val="3"/>
        <w:widowControl w:val="0"/>
        <w:numPr>
          <w:ilvl w:val="0"/>
          <w:numId w:val="9"/>
        </w:numPr>
        <w:spacing w:line="360" w:lineRule="auto"/>
        <w:ind w:left="357" w:hanging="357"/>
        <w:jc w:val="both"/>
        <w:rPr>
          <w:b/>
          <w:color w:val="000000"/>
        </w:rPr>
      </w:pPr>
      <w:r>
        <w:rPr>
          <w:b/>
          <w:color w:val="000000"/>
        </w:rPr>
        <w:t xml:space="preserve">ARMP </w:t>
      </w:r>
    </w:p>
    <w:p>
      <w:pPr>
        <w:pStyle w:val="3"/>
        <w:widowControl w:val="0"/>
        <w:numPr>
          <w:ilvl w:val="0"/>
          <w:numId w:val="9"/>
        </w:numPr>
        <w:spacing w:line="360" w:lineRule="auto"/>
        <w:ind w:left="357" w:hanging="357"/>
        <w:jc w:val="both"/>
        <w:rPr>
          <w:b/>
          <w:color w:val="000000"/>
        </w:rPr>
      </w:pPr>
      <w:bookmarkStart w:id="10" w:name="_qsh70q" w:colFirst="0" w:colLast="0"/>
      <w:bookmarkEnd w:id="10"/>
      <w:r>
        <w:rPr>
          <w:b/>
          <w:color w:val="000000"/>
        </w:rPr>
        <w:t xml:space="preserve">Maître d’Ouvrage ou MOD concerné, le cas échéant ; </w:t>
      </w:r>
    </w:p>
    <w:p>
      <w:pPr>
        <w:pStyle w:val="3"/>
        <w:widowControl w:val="0"/>
        <w:numPr>
          <w:ilvl w:val="0"/>
          <w:numId w:val="9"/>
        </w:numPr>
        <w:spacing w:line="360" w:lineRule="auto"/>
        <w:ind w:left="357" w:hanging="357"/>
        <w:jc w:val="both"/>
        <w:rPr>
          <w:b/>
          <w:color w:val="000000"/>
        </w:rPr>
      </w:pPr>
      <w:bookmarkStart w:id="11" w:name="_3as4poj" w:colFirst="0" w:colLast="0"/>
      <w:bookmarkEnd w:id="11"/>
      <w:r>
        <w:rPr>
          <w:b/>
          <w:color w:val="000000"/>
        </w:rPr>
        <w:t>Président CPM concerné</w:t>
      </w:r>
    </w:p>
    <w:p>
      <w:pPr>
        <w:pStyle w:val="3"/>
        <w:widowControl w:val="0"/>
        <w:numPr>
          <w:ilvl w:val="0"/>
          <w:numId w:val="9"/>
        </w:numPr>
        <w:spacing w:line="360" w:lineRule="auto"/>
        <w:ind w:right="-20"/>
        <w:rPr>
          <w:b/>
          <w:sz w:val="20"/>
          <w:szCs w:val="20"/>
        </w:rPr>
      </w:pPr>
      <w:r>
        <w:rPr>
          <w:b/>
        </w:rPr>
        <w:t>Présidents de CCCM, le cas échéant ;</w:t>
      </w:r>
    </w:p>
    <w:p>
      <w:pPr>
        <w:pStyle w:val="3"/>
        <w:widowControl w:val="0"/>
        <w:numPr>
          <w:ilvl w:val="0"/>
          <w:numId w:val="9"/>
        </w:numPr>
        <w:spacing w:line="360" w:lineRule="auto"/>
        <w:ind w:left="357" w:hanging="357"/>
        <w:jc w:val="both"/>
        <w:rPr>
          <w:b/>
          <w:color w:val="000000"/>
        </w:rPr>
      </w:pPr>
      <w:r>
        <w:rPr>
          <w:b/>
          <w:color w:val="000000"/>
        </w:rPr>
        <w:t>Affichage / chrono</w:t>
      </w: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pStyle w:val="3"/>
        <w:rPr>
          <w:b/>
        </w:rPr>
      </w:pPr>
    </w:p>
    <w:p>
      <w:pPr>
        <w:spacing w:after="0" w:line="240" w:lineRule="auto"/>
        <w:ind w:left="114" w:right="172"/>
        <w:jc w:val="center"/>
        <w:rPr>
          <w:rFonts w:ascii="Arial Narrow" w:hAnsi="Arial Narrow" w:cs="Arial"/>
          <w:b/>
          <w:color w:val="000000"/>
          <w:sz w:val="28"/>
          <w:szCs w:val="28"/>
          <w:lang w:val="en-US"/>
        </w:rPr>
      </w:pPr>
      <w:r>
        <w:rPr>
          <w:rFonts w:ascii="Arial Narrow" w:hAnsi="Arial Narrow" w:cs="Arial"/>
          <w:b/>
          <w:color w:val="000000"/>
          <w:sz w:val="28"/>
          <w:szCs w:val="28"/>
          <w:lang w:val="en-US"/>
        </w:rPr>
        <w:t>NOTICE OF CALL FOR TENDERS</w:t>
      </w:r>
      <w:r>
        <w:rPr>
          <w:rFonts w:ascii="Arial Narrow" w:hAnsi="Arial Narrow" w:cs="Arial"/>
          <w:b/>
          <w:color w:val="000000"/>
          <w:sz w:val="28"/>
          <w:szCs w:val="28"/>
          <w:lang w:val="en-US"/>
        </w:rPr>
        <w:t xml:space="preserve"> </w:t>
      </w:r>
    </w:p>
    <w:p>
      <w:pPr>
        <w:spacing w:after="0" w:line="240" w:lineRule="auto"/>
        <w:ind w:left="114" w:right="172"/>
        <w:jc w:val="center"/>
        <w:rPr>
          <w:rFonts w:ascii="Arial Narrow" w:hAnsi="Arial Narrow" w:cs="Arial"/>
          <w:b/>
          <w:color w:val="000000"/>
          <w:sz w:val="28"/>
          <w:szCs w:val="28"/>
          <w:lang w:val="en-US"/>
        </w:rPr>
      </w:pPr>
    </w:p>
    <w:p>
      <w:pPr>
        <w:spacing w:after="0" w:line="240" w:lineRule="auto"/>
        <w:ind w:right="172"/>
        <w:jc w:val="center"/>
        <w:rPr>
          <w:b/>
          <w:color w:val="000000"/>
          <w:lang w:val="en"/>
        </w:rPr>
      </w:pPr>
      <w:r>
        <w:rPr>
          <w:b/>
          <w:color w:val="000000"/>
          <w:lang w:val="en"/>
        </w:rPr>
        <w:t>NATIONAL OPEN CALL FOR TENDERS UNDER EMERGENCY PROCEDURE N° 010</w:t>
      </w:r>
      <w:r>
        <w:rPr>
          <w:b/>
          <w:color w:val="000000"/>
          <w:lang w:val="en"/>
        </w:rPr>
        <w:t xml:space="preserve">(bis) </w:t>
      </w:r>
      <w:r>
        <w:rPr>
          <w:b/>
          <w:color w:val="000000"/>
          <w:lang w:val="en"/>
        </w:rPr>
        <w:t>/AONO/PU//C-BBULU/CIPM/2025</w:t>
      </w:r>
      <w:r>
        <w:rPr>
          <w:b/>
          <w:color w:val="000000"/>
          <w:lang w:val="fr-FR"/>
        </w:rPr>
        <w:t xml:space="preserve"> </w:t>
      </w:r>
      <w:r>
        <w:rPr>
          <w:b/>
          <w:color w:val="000000"/>
          <w:lang w:val="fr-FR"/>
        </w:rPr>
        <w:t>09/05/2025</w:t>
      </w:r>
      <w:r>
        <w:rPr>
          <w:b/>
          <w:color w:val="000000"/>
          <w:lang w:val="en"/>
        </w:rPr>
        <w:t xml:space="preserve"> RELATING TO THE COMPLETION WORKS OF CSI OF EMINEVOM I IN THE COMMUNE OF BIWONG BULU, MVILA DEPARTMENT,SOUTHERN REGION FUNDING.</w:t>
      </w:r>
    </w:p>
    <w:p>
      <w:pPr>
        <w:spacing w:after="0" w:line="240" w:lineRule="auto"/>
        <w:ind w:left="114" w:right="172"/>
        <w:jc w:val="center"/>
        <w:rPr>
          <w:b/>
          <w:color w:val="000000"/>
          <w:lang w:val="en"/>
        </w:rPr>
      </w:pPr>
      <w:r>
        <w:rPr>
          <w:b/>
          <w:color w:val="000000"/>
          <w:lang w:val="en"/>
        </w:rPr>
        <w:t>BIP MINDDEVEL, FISCAL YEAR 2025</w:t>
      </w:r>
    </w:p>
    <w:p>
      <w:pPr>
        <w:spacing w:after="0" w:line="240" w:lineRule="auto"/>
        <w:ind w:right="172"/>
        <w:jc w:val="both"/>
        <w:rPr>
          <w:b/>
          <w:color w:val="000000"/>
          <w:lang w:val="en"/>
        </w:rPr>
      </w:pPr>
      <w:r>
        <w:rPr>
          <w:color w:val="000000"/>
          <w:lang w:val="en"/>
        </w:rPr>
        <w:t xml:space="preserve">             </w:t>
      </w:r>
      <w:r>
        <w:rPr>
          <w:b/>
          <w:color w:val="000000"/>
          <w:lang w:val="en"/>
        </w:rPr>
        <w:t>1- Purpose of the call for tenders:</w:t>
      </w:r>
    </w:p>
    <w:p>
      <w:pPr>
        <w:spacing w:after="0" w:line="240" w:lineRule="auto"/>
        <w:ind w:left="114" w:right="172"/>
        <w:jc w:val="both"/>
        <w:rPr>
          <w:color w:val="000000"/>
          <w:lang w:val="en-US"/>
        </w:rPr>
      </w:pPr>
      <w:r>
        <w:rPr>
          <w:color w:val="000000"/>
          <w:lang w:val="en"/>
        </w:rPr>
        <w:t>As part of the multisectoral allocation listed in the Public Investment Budget (BIP) of the Ministry of Decentralization and Local Development(MINDDEVEL), specialy Chapter27 Article , which advocates support for financing LOCAL Councils(CTDs) for local development,the Contracting Authority launches an Open Call for Tenders under Emergency Procedure N°</w:t>
      </w:r>
      <w:r>
        <w:rPr>
          <w:b/>
          <w:color w:val="000000"/>
          <w:lang w:val="en"/>
        </w:rPr>
        <w:t xml:space="preserve"> 010</w:t>
      </w:r>
      <w:r>
        <w:rPr>
          <w:b/>
          <w:color w:val="000000"/>
          <w:lang w:val="en"/>
        </w:rPr>
        <w:t xml:space="preserve">(bis) </w:t>
      </w:r>
      <w:r>
        <w:rPr>
          <w:b/>
          <w:color w:val="000000"/>
          <w:lang w:val="en"/>
        </w:rPr>
        <w:t xml:space="preserve">/AONO/PU//C-BBULU/CIPM/ of   </w:t>
      </w:r>
      <w:r>
        <w:rPr>
          <w:b/>
          <w:color w:val="000000"/>
          <w:lang w:val="fr-FR"/>
        </w:rPr>
        <w:t>09/05/2025</w:t>
      </w:r>
      <w:r>
        <w:rPr>
          <w:b/>
          <w:color w:val="000000"/>
          <w:lang w:val="en"/>
        </w:rPr>
        <w:t xml:space="preserve">                                :                          RELATING TO THE COMPLETION WORKS OF CSI OF EMINEVOM I IN THE BIWONG BULU MUNICIPALITY, MVILA DIVISION, SOUTHERN REGION</w:t>
      </w:r>
      <w:r>
        <w:rPr>
          <w:color w:val="000000"/>
          <w:lang w:val="en"/>
        </w:rPr>
        <w:t>.</w:t>
      </w:r>
    </w:p>
    <w:p>
      <w:pPr>
        <w:spacing w:after="0" w:line="240" w:lineRule="auto"/>
        <w:ind w:left="114" w:right="172" w:firstLine="594"/>
        <w:jc w:val="both"/>
        <w:rPr>
          <w:b/>
          <w:color w:val="000000"/>
          <w:lang w:val="en"/>
        </w:rPr>
      </w:pPr>
      <w:r>
        <w:rPr>
          <w:b/>
          <w:color w:val="000000"/>
          <w:lang w:val="en"/>
        </w:rPr>
        <w:t>2- Scope of the Works</w:t>
      </w:r>
    </w:p>
    <w:p>
      <w:pPr>
        <w:spacing w:after="0" w:line="240" w:lineRule="auto"/>
        <w:ind w:left="114" w:right="172"/>
        <w:jc w:val="both"/>
        <w:rPr>
          <w:color w:val="000000"/>
          <w:lang w:val="en"/>
        </w:rPr>
      </w:pPr>
      <w:r>
        <w:rPr>
          <w:color w:val="000000"/>
          <w:lang w:val="en"/>
        </w:rPr>
        <w:t>The work includes among other things : (brief description of the works to be carried out):</w:t>
      </w:r>
    </w:p>
    <w:p>
      <w:pPr>
        <w:spacing w:after="0" w:line="240" w:lineRule="auto"/>
        <w:ind w:left="114" w:right="172"/>
        <w:jc w:val="both"/>
        <w:rPr>
          <w:b/>
          <w:color w:val="000000"/>
          <w:lang w:val="en"/>
        </w:rPr>
      </w:pPr>
      <w:r>
        <w:rPr>
          <w:b/>
          <w:color w:val="000000"/>
          <w:lang w:val="en"/>
        </w:rPr>
        <w:t xml:space="preserve">          3-Phases / Allotement</w:t>
      </w:r>
    </w:p>
    <w:p>
      <w:pPr>
        <w:spacing w:after="0" w:line="240" w:lineRule="auto"/>
        <w:ind w:left="114" w:right="172"/>
        <w:jc w:val="both"/>
        <w:rPr>
          <w:b/>
          <w:color w:val="000000"/>
          <w:lang w:val="en"/>
        </w:rPr>
      </w:pPr>
      <w:r>
        <w:rPr>
          <w:color w:val="000000"/>
          <w:lang w:val="en"/>
        </w:rPr>
        <w:t>The works are divided into following phases and/or lots</w:t>
      </w:r>
      <w:r>
        <w:rPr>
          <w:b/>
          <w:color w:val="000000"/>
          <w:lang w:val="en"/>
        </w:rPr>
        <w:t xml:space="preserve"> :</w:t>
      </w:r>
    </w:p>
    <w:p>
      <w:pPr>
        <w:spacing w:after="0" w:line="240" w:lineRule="auto"/>
        <w:ind w:left="114" w:right="172"/>
        <w:jc w:val="both"/>
        <w:rPr>
          <w:color w:val="000000"/>
          <w:lang w:val="en"/>
        </w:rPr>
      </w:pPr>
      <w:r>
        <w:rPr>
          <w:color w:val="000000"/>
          <w:lang w:val="en"/>
        </w:rPr>
        <w:t>• Preliminary  works -Earthworks;</w:t>
      </w:r>
    </w:p>
    <w:p>
      <w:pPr>
        <w:spacing w:after="0" w:line="240" w:lineRule="auto"/>
        <w:ind w:left="114" w:right="172"/>
        <w:jc w:val="both"/>
        <w:rPr>
          <w:color w:val="000000"/>
          <w:lang w:val="en"/>
        </w:rPr>
      </w:pPr>
      <w:r>
        <w:rPr>
          <w:color w:val="000000"/>
          <w:lang w:val="en"/>
        </w:rPr>
        <w:t>• Foundations;</w:t>
      </w:r>
    </w:p>
    <w:p>
      <w:pPr>
        <w:spacing w:after="0" w:line="240" w:lineRule="auto"/>
        <w:ind w:left="114" w:right="172"/>
        <w:jc w:val="both"/>
        <w:rPr>
          <w:color w:val="000000"/>
          <w:lang w:val="en"/>
        </w:rPr>
      </w:pPr>
      <w:r>
        <w:rPr>
          <w:color w:val="000000"/>
          <w:lang w:val="en"/>
        </w:rPr>
        <w:t>• Masonry ;</w:t>
      </w:r>
    </w:p>
    <w:p>
      <w:pPr>
        <w:spacing w:after="0" w:line="240" w:lineRule="auto"/>
        <w:ind w:left="114" w:right="172"/>
        <w:jc w:val="both"/>
        <w:rPr>
          <w:color w:val="000000"/>
          <w:lang w:val="en"/>
        </w:rPr>
      </w:pPr>
      <w:r>
        <w:rPr>
          <w:color w:val="000000"/>
          <w:lang w:val="en"/>
        </w:rPr>
        <w:t>• Floor and wall finishes;</w:t>
      </w:r>
    </w:p>
    <w:p>
      <w:pPr>
        <w:spacing w:after="0" w:line="240" w:lineRule="auto"/>
        <w:ind w:left="114" w:right="172"/>
        <w:jc w:val="both"/>
        <w:rPr>
          <w:color w:val="000000"/>
          <w:lang w:val="en"/>
        </w:rPr>
      </w:pPr>
      <w:r>
        <w:rPr>
          <w:color w:val="000000"/>
          <w:lang w:val="en"/>
        </w:rPr>
        <w:t xml:space="preserve">• Roofing and framework </w:t>
      </w:r>
    </w:p>
    <w:p>
      <w:pPr>
        <w:spacing w:after="0" w:line="240" w:lineRule="auto"/>
        <w:ind w:left="114" w:right="172"/>
        <w:jc w:val="both"/>
        <w:rPr>
          <w:color w:val="000000"/>
          <w:lang w:val="en"/>
        </w:rPr>
      </w:pPr>
      <w:r>
        <w:rPr>
          <w:color w:val="000000"/>
          <w:lang w:val="en"/>
        </w:rPr>
        <w:t>• Woodworking;</w:t>
      </w:r>
    </w:p>
    <w:p>
      <w:pPr>
        <w:spacing w:after="0" w:line="240" w:lineRule="auto"/>
        <w:ind w:left="114" w:right="172"/>
        <w:jc w:val="both"/>
        <w:rPr>
          <w:color w:val="000000"/>
          <w:lang w:val="en"/>
        </w:rPr>
      </w:pPr>
      <w:r>
        <w:rPr>
          <w:color w:val="000000"/>
          <w:lang w:val="en"/>
        </w:rPr>
        <w:t>• Electricity;</w:t>
      </w:r>
    </w:p>
    <w:p>
      <w:pPr>
        <w:spacing w:after="0" w:line="240" w:lineRule="auto"/>
        <w:ind w:left="114" w:right="172"/>
        <w:jc w:val="both"/>
        <w:rPr>
          <w:color w:val="000000"/>
          <w:lang w:val="en"/>
        </w:rPr>
      </w:pPr>
      <w:r>
        <w:rPr>
          <w:color w:val="000000"/>
          <w:lang w:val="en"/>
        </w:rPr>
        <w:t>• Sanitary Plumbing</w:t>
      </w:r>
    </w:p>
    <w:p>
      <w:pPr>
        <w:spacing w:after="0" w:line="240" w:lineRule="auto"/>
        <w:ind w:left="114" w:right="172" w:firstLine="594"/>
        <w:jc w:val="both"/>
        <w:rPr>
          <w:color w:val="000000"/>
          <w:lang w:val="en"/>
        </w:rPr>
      </w:pPr>
      <w:r>
        <w:rPr>
          <w:color w:val="000000"/>
          <w:lang w:val="en"/>
        </w:rPr>
        <w:t>4</w:t>
      </w:r>
      <w:r>
        <w:rPr>
          <w:b/>
          <w:color w:val="000000"/>
          <w:lang w:val="en"/>
        </w:rPr>
        <w:t>- Estimated Cost</w:t>
      </w:r>
    </w:p>
    <w:p>
      <w:pPr>
        <w:spacing w:after="0" w:line="240" w:lineRule="auto"/>
        <w:ind w:left="114" w:right="172"/>
        <w:jc w:val="both"/>
        <w:rPr>
          <w:color w:val="000000"/>
          <w:lang w:val="en"/>
        </w:rPr>
      </w:pPr>
      <w:r>
        <w:rPr>
          <w:color w:val="000000"/>
          <w:lang w:val="en"/>
        </w:rPr>
        <w:t>The estimated cost of the operation based on preliminary studies is 26 820 600 F CFA ( twenty six million eight hundred and twenty thousand six hundred).</w:t>
      </w:r>
    </w:p>
    <w:p>
      <w:pPr>
        <w:spacing w:after="0" w:line="240" w:lineRule="auto"/>
        <w:ind w:left="114" w:right="172" w:firstLine="594"/>
        <w:jc w:val="both"/>
        <w:rPr>
          <w:b/>
          <w:color w:val="000000"/>
          <w:lang w:val="en"/>
        </w:rPr>
      </w:pPr>
      <w:r>
        <w:rPr>
          <w:b/>
          <w:color w:val="000000"/>
          <w:lang w:val="en"/>
        </w:rPr>
        <w:t>5- Execution Timeline:</w:t>
      </w:r>
    </w:p>
    <w:p>
      <w:pPr>
        <w:spacing w:after="0" w:line="240" w:lineRule="auto"/>
        <w:ind w:left="114" w:right="172"/>
        <w:jc w:val="both"/>
        <w:rPr>
          <w:color w:val="000000"/>
          <w:lang w:val="en-US"/>
        </w:rPr>
      </w:pPr>
      <w:r>
        <w:rPr>
          <w:color w:val="000000"/>
          <w:lang w:val="en"/>
        </w:rPr>
        <w:t xml:space="preserve">The maximum timeline plannedby the contractingAuthority for executionof the works, subjectof this call for tenders is three( 3 ) calandar months. This period starts from the date of notification of the service order to commence the tasks. </w:t>
      </w:r>
    </w:p>
    <w:p>
      <w:pPr>
        <w:spacing w:after="0" w:line="240" w:lineRule="auto"/>
        <w:ind w:left="114" w:right="172" w:firstLine="594"/>
        <w:jc w:val="both"/>
        <w:rPr>
          <w:b/>
          <w:color w:val="000000"/>
          <w:lang w:val="en"/>
        </w:rPr>
      </w:pPr>
      <w:r>
        <w:rPr>
          <w:b/>
          <w:color w:val="000000"/>
          <w:lang w:val="en"/>
        </w:rPr>
        <w:t>6-Eligibility and Origin:</w:t>
      </w:r>
    </w:p>
    <w:p>
      <w:pPr>
        <w:spacing w:after="0" w:line="240" w:lineRule="auto"/>
        <w:ind w:left="114" w:right="172"/>
        <w:jc w:val="both"/>
        <w:rPr>
          <w:color w:val="000000"/>
          <w:lang w:val="en"/>
        </w:rPr>
      </w:pPr>
      <w:r>
        <w:rPr>
          <w:color w:val="000000"/>
          <w:lang w:val="en"/>
        </w:rPr>
        <w:t>Participation in this National Call for Tenders is open on equal terms to all companies established in the Republic of Cameroon meeting the conditions outlined in the Regulations of the Call of Tenders (RPAO) which is part of document N° 03  of this Tender File.</w:t>
      </w:r>
    </w:p>
    <w:p>
      <w:pPr>
        <w:spacing w:after="0" w:line="240" w:lineRule="auto"/>
        <w:ind w:left="114" w:right="172" w:firstLine="594"/>
        <w:jc w:val="both"/>
        <w:rPr>
          <w:b/>
          <w:color w:val="000000"/>
          <w:lang w:val="en"/>
        </w:rPr>
      </w:pPr>
      <w:r>
        <w:rPr>
          <w:b/>
          <w:color w:val="000000"/>
          <w:lang w:val="en"/>
        </w:rPr>
        <w:t>7-Funding:</w:t>
      </w:r>
    </w:p>
    <w:p>
      <w:pPr>
        <w:spacing w:after="0" w:line="240" w:lineRule="auto"/>
        <w:ind w:left="114" w:right="172"/>
        <w:jc w:val="both"/>
        <w:rPr>
          <w:color w:val="000000"/>
          <w:lang w:val="en"/>
        </w:rPr>
      </w:pPr>
      <w:r>
        <w:rPr>
          <w:color w:val="000000"/>
          <w:lang w:val="en"/>
        </w:rPr>
        <w:t>The works under this Call for Tenders are financed by BIP 2025 fiscal year under budget allocation line N° JAO4401-39 30 186 641811 523313.</w:t>
      </w:r>
    </w:p>
    <w:p>
      <w:pPr>
        <w:spacing w:after="0" w:line="240" w:lineRule="auto"/>
        <w:ind w:left="114" w:right="172"/>
        <w:jc w:val="both"/>
        <w:rPr>
          <w:b/>
          <w:color w:val="000000"/>
          <w:lang w:val="en"/>
        </w:rPr>
      </w:pPr>
      <w:r>
        <w:rPr>
          <w:color w:val="000000"/>
          <w:lang w:val="en"/>
        </w:rPr>
        <w:t xml:space="preserve">          </w:t>
      </w:r>
      <w:r>
        <w:rPr>
          <w:b/>
          <w:color w:val="000000"/>
          <w:lang w:val="en"/>
        </w:rPr>
        <w:t xml:space="preserve"> 8-Mode of Submission:</w:t>
      </w:r>
    </w:p>
    <w:p>
      <w:pPr>
        <w:spacing w:after="0" w:line="240" w:lineRule="auto"/>
        <w:ind w:left="114" w:right="172"/>
        <w:jc w:val="both"/>
        <w:rPr>
          <w:b/>
          <w:color w:val="000000"/>
          <w:lang w:val="en"/>
        </w:rPr>
      </w:pPr>
      <w:r>
        <w:rPr>
          <w:color w:val="000000"/>
          <w:lang w:val="en"/>
        </w:rPr>
        <w:t>The mode of submission for this consultation is ( indicate one ot three submission modes , online,offline,or both). However, when both options are available , the bidder can not  use bothonline and offline modes sumultaneously.</w:t>
      </w:r>
    </w:p>
    <w:p>
      <w:pPr>
        <w:spacing w:after="0" w:line="240" w:lineRule="auto"/>
        <w:ind w:left="114" w:right="172" w:firstLine="594"/>
        <w:jc w:val="both"/>
        <w:rPr>
          <w:b/>
          <w:color w:val="000000"/>
          <w:lang w:val="en-US"/>
        </w:rPr>
      </w:pPr>
      <w:r>
        <w:rPr>
          <w:b/>
          <w:color w:val="000000"/>
          <w:lang w:val="en"/>
        </w:rPr>
        <w:t>9-Bid Bond</w:t>
      </w:r>
    </w:p>
    <w:p>
      <w:pPr>
        <w:spacing w:after="0" w:line="240" w:lineRule="auto"/>
        <w:ind w:right="172"/>
        <w:jc w:val="both"/>
        <w:rPr>
          <w:color w:val="000000"/>
          <w:lang w:val="en"/>
        </w:rPr>
      </w:pPr>
      <w:r>
        <w:rPr>
          <w:color w:val="000000"/>
          <w:lang w:val="en"/>
        </w:rPr>
        <w:t xml:space="preserve">Each bidder must attach to their administrative documents a bid bond, duly stamped,issued by an organization or financial institution approved by the Minister of Finance for issuing bonds in public procurement, the list of which appears in document 14 of the DAO, the amount of which is 536 412 FCFA (Five hundred thirty-six thousand four hundred end twelve) FCFA for each lot. It is at most equal to 2% of the estimated cost including all taxes (TTC) of the contract in accordance with the decree in force and valid 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w:t>
      </w:r>
    </w:p>
    <w:p>
      <w:pPr>
        <w:spacing w:after="0" w:line="240" w:lineRule="auto"/>
        <w:ind w:right="172"/>
        <w:jc w:val="both"/>
        <w:rPr>
          <w:color w:val="000000"/>
          <w:lang w:val="en"/>
        </w:rPr>
      </w:pPr>
      <w:r>
        <w:rPr>
          <w:color w:val="000000"/>
          <w:lang w:val="en"/>
        </w:rPr>
        <w:t>Under penalty of rejection, the required</w:t>
      </w:r>
      <w:r>
        <w:rPr>
          <w:color w:val="000000"/>
          <w:lang w:val="en"/>
        </w:rPr>
        <w:t xml:space="preserve"> </w:t>
      </w:r>
      <w:r>
        <w:rPr>
          <w:color w:val="000000"/>
          <w:lang w:val="en"/>
        </w:rPr>
        <w:t>document of the administrative file must be submitted as original or certified as originals or certified copies issue</w:t>
      </w:r>
      <w:r>
        <w:rPr>
          <w:color w:val="000000"/>
          <w:lang w:val="en"/>
        </w:rPr>
        <w:t>d by the relevant service or co</w:t>
      </w:r>
      <w:r>
        <w:rPr>
          <w:color w:val="000000"/>
          <w:lang w:val="en"/>
        </w:rPr>
        <w:t>mpetent administrative Authority, in accordance with the provisions of the special Regulations of the Call for Tenders. These documents must be dated less than three(03) months</w:t>
      </w:r>
      <w:r>
        <w:rPr>
          <w:color w:val="000000"/>
          <w:lang w:val="en"/>
        </w:rPr>
        <w:t xml:space="preserve"> </w:t>
      </w:r>
      <w:r>
        <w:rPr>
          <w:color w:val="000000"/>
          <w:lang w:val="en"/>
        </w:rPr>
        <w:t>or must have been issued after the date of signature of the Call for Tenders notice.</w:t>
      </w:r>
    </w:p>
    <w:p>
      <w:pPr>
        <w:spacing w:after="0" w:line="240" w:lineRule="auto"/>
        <w:ind w:right="172"/>
        <w:jc w:val="both"/>
        <w:rPr>
          <w:color w:val="000000"/>
          <w:lang w:val="en"/>
        </w:rPr>
      </w:pPr>
      <w:r>
        <w:rPr>
          <w:color w:val="000000"/>
          <w:lang w:val="en"/>
        </w:rPr>
        <w:t xml:space="preserve">In the event of the absence or non </w:t>
      </w:r>
      <w:r>
        <w:rPr>
          <w:color w:val="000000"/>
          <w:lang w:val="en"/>
        </w:rPr>
        <w:t xml:space="preserve"> </w:t>
      </w:r>
      <w:r>
        <w:rPr>
          <w:color w:val="000000"/>
          <w:lang w:val="en"/>
        </w:rPr>
        <w:t>conformity</w:t>
      </w:r>
      <w:r>
        <w:rPr>
          <w:color w:val="000000"/>
          <w:lang w:val="en"/>
        </w:rPr>
        <w:t xml:space="preserve"> </w:t>
      </w:r>
      <w:r>
        <w:rPr>
          <w:color w:val="000000"/>
          <w:lang w:val="en"/>
        </w:rPr>
        <w:t>of a document from the administrative file</w:t>
      </w:r>
      <w:r>
        <w:rPr>
          <w:color w:val="000000"/>
          <w:lang w:val="en"/>
        </w:rPr>
        <w:t xml:space="preserve"> </w:t>
      </w:r>
      <w:r>
        <w:rPr>
          <w:color w:val="000000"/>
          <w:lang w:val="en"/>
        </w:rPr>
        <w:t>during the opening of the bid,</w:t>
      </w:r>
      <w:r>
        <w:rPr>
          <w:color w:val="000000"/>
          <w:lang w:val="en"/>
        </w:rPr>
        <w:t xml:space="preserve"> </w:t>
      </w:r>
      <w:r>
        <w:rPr>
          <w:color w:val="000000"/>
          <w:lang w:val="en"/>
        </w:rPr>
        <w:t>and after a 48 hour period granted by the commission,</w:t>
      </w:r>
      <w:r>
        <w:rPr>
          <w:color w:val="000000"/>
          <w:lang w:val="en"/>
        </w:rPr>
        <w:t xml:space="preserve"> </w:t>
      </w:r>
      <w:r>
        <w:rPr>
          <w:color w:val="000000"/>
          <w:lang w:val="en"/>
        </w:rPr>
        <w:t>the offer will be rejected.</w:t>
      </w:r>
    </w:p>
    <w:p>
      <w:pPr>
        <w:spacing w:after="0" w:line="240" w:lineRule="auto"/>
        <w:ind w:right="172" w:firstLine="708"/>
        <w:jc w:val="both"/>
        <w:rPr>
          <w:b/>
          <w:color w:val="000000"/>
          <w:lang w:val="en"/>
        </w:rPr>
      </w:pPr>
      <w:r>
        <w:rPr>
          <w:b/>
          <w:color w:val="000000"/>
          <w:lang w:val="en"/>
        </w:rPr>
        <w:t>10-Consultation of the Tender Document</w:t>
      </w:r>
    </w:p>
    <w:p>
      <w:pPr>
        <w:spacing w:after="0" w:line="240" w:lineRule="auto"/>
        <w:ind w:right="172"/>
        <w:jc w:val="both"/>
        <w:rPr>
          <w:color w:val="000000"/>
          <w:lang w:val="en"/>
        </w:rPr>
      </w:pPr>
      <w:r>
        <w:rPr>
          <w:color w:val="000000"/>
          <w:lang w:val="en"/>
        </w:rPr>
        <w:t>The physical document may be consulted free of charge in the Contracting Authority's offices during business hours at the Contracting Authority's Secretariat, PO Box 657 Ebolowa, Tel: 672726 077/ 683689096, upon publicatio</w:t>
      </w:r>
      <w:r>
        <w:rPr>
          <w:color w:val="000000"/>
          <w:lang w:val="en"/>
        </w:rPr>
        <w:t xml:space="preserve">n of this notice.It can also be </w:t>
      </w:r>
      <w:r>
        <w:rPr>
          <w:color w:val="000000"/>
          <w:lang w:val="en"/>
        </w:rPr>
        <w:t xml:space="preserve">consulted on line on the COLEPS platform at the following addresses: </w:t>
      </w:r>
      <w:r>
        <w:fldChar w:fldCharType="begin"/>
      </w:r>
      <w:r>
        <w:instrText xml:space="preserve"> HYPERLINK "http://www.marchepublics.cm" </w:instrText>
      </w:r>
      <w:r>
        <w:fldChar w:fldCharType="separate"/>
      </w:r>
      <w:r>
        <w:rPr>
          <w:rStyle w:val="21"/>
          <w:lang w:val="en"/>
        </w:rPr>
        <w:t>http://www.marchepublics.cm</w:t>
      </w:r>
      <w:r>
        <w:rPr>
          <w:rStyle w:val="21"/>
          <w:lang w:val="en"/>
        </w:rPr>
        <w:fldChar w:fldCharType="end"/>
      </w:r>
      <w:r>
        <w:rPr>
          <w:color w:val="000000"/>
          <w:lang w:val="en"/>
        </w:rPr>
        <w:t xml:space="preserve">, </w:t>
      </w:r>
      <w:r>
        <w:fldChar w:fldCharType="begin"/>
      </w:r>
      <w:r>
        <w:instrText xml:space="preserve"> HYPERLINK "http://www.publiccontracts.cm" </w:instrText>
      </w:r>
      <w:r>
        <w:fldChar w:fldCharType="separate"/>
      </w:r>
      <w:r>
        <w:rPr>
          <w:rStyle w:val="21"/>
          <w:lang w:val="en"/>
        </w:rPr>
        <w:t>http://www.publiccontracts.cm</w:t>
      </w:r>
      <w:r>
        <w:rPr>
          <w:rStyle w:val="21"/>
          <w:lang w:val="en"/>
        </w:rPr>
        <w:fldChar w:fldCharType="end"/>
      </w:r>
      <w:r>
        <w:rPr>
          <w:color w:val="000000"/>
          <w:lang w:val="en"/>
        </w:rPr>
        <w:t>, and on the ARMP website: www;armp.cm.</w:t>
      </w:r>
    </w:p>
    <w:p>
      <w:pPr>
        <w:spacing w:after="0" w:line="240" w:lineRule="auto"/>
        <w:ind w:right="172" w:firstLine="708"/>
        <w:jc w:val="both"/>
        <w:rPr>
          <w:b/>
          <w:color w:val="000000"/>
          <w:lang w:val="en"/>
        </w:rPr>
      </w:pPr>
      <w:r>
        <w:rPr>
          <w:b/>
          <w:color w:val="000000"/>
          <w:lang w:val="en"/>
        </w:rPr>
        <w:t>11-Acquisition of the Tender Document:</w:t>
      </w:r>
    </w:p>
    <w:p>
      <w:pPr>
        <w:spacing w:after="0" w:line="240" w:lineRule="auto"/>
        <w:ind w:right="172"/>
        <w:jc w:val="both"/>
        <w:rPr>
          <w:color w:val="000000"/>
          <w:lang w:val="en-US"/>
        </w:rPr>
      </w:pPr>
      <w:r>
        <w:rPr>
          <w:color w:val="000000"/>
          <w:lang w:val="en"/>
        </w:rPr>
        <w:t>The Tender Document can by be obtained during working hours from the Internal Structure for Administrative Management of Public Contracts of the Biwong Bulu Municipal</w:t>
      </w:r>
      <w:r>
        <w:rPr>
          <w:color w:val="000000"/>
          <w:lang w:val="en"/>
        </w:rPr>
        <w:t xml:space="preserve">ity, as soon as this notice is </w:t>
      </w:r>
      <w:r>
        <w:rPr>
          <w:color w:val="000000"/>
          <w:lang w:val="en"/>
        </w:rPr>
        <w:t>published,</w:t>
      </w:r>
      <w:r>
        <w:rPr>
          <w:color w:val="000000"/>
          <w:lang w:val="en"/>
        </w:rPr>
        <w:t xml:space="preserve"> </w:t>
      </w:r>
      <w:r>
        <w:rPr>
          <w:color w:val="000000"/>
          <w:lang w:val="en"/>
        </w:rPr>
        <w:t>against payment of a non refundable sum of forty thousand (40 000) FCFA, payable at the Municipal Revenue Office of Biwong Bulu Municipality,</w:t>
      </w:r>
      <w:r>
        <w:rPr>
          <w:color w:val="000000"/>
          <w:lang w:val="en"/>
        </w:rPr>
        <w:t xml:space="preserve"> </w:t>
      </w:r>
      <w:r>
        <w:rPr>
          <w:color w:val="000000"/>
          <w:lang w:val="en"/>
        </w:rPr>
        <w:t>representing the cost of acquiring the Tenders Documents. The receipt must specify</w:t>
      </w:r>
      <w:r>
        <w:rPr>
          <w:color w:val="000000"/>
          <w:lang w:val="en"/>
        </w:rPr>
        <w:t xml:space="preserve"> </w:t>
      </w:r>
      <w:r>
        <w:rPr>
          <w:color w:val="000000"/>
          <w:lang w:val="en"/>
        </w:rPr>
        <w:t>the reference number</w:t>
      </w:r>
      <w:r>
        <w:rPr>
          <w:color w:val="000000"/>
          <w:lang w:val="en"/>
        </w:rPr>
        <w:t xml:space="preserve"> </w:t>
      </w:r>
      <w:r>
        <w:rPr>
          <w:color w:val="000000"/>
          <w:lang w:val="en"/>
        </w:rPr>
        <w:t>of the call for tenders . During the withdrawal of a Tender</w:t>
      </w:r>
      <w:r>
        <w:rPr>
          <w:color w:val="000000"/>
          <w:lang w:val="en"/>
        </w:rPr>
        <w:t xml:space="preserve"> </w:t>
      </w:r>
      <w:r>
        <w:rPr>
          <w:color w:val="000000"/>
          <w:lang w:val="en"/>
        </w:rPr>
        <w:t>Documents,</w:t>
      </w:r>
      <w:r>
        <w:rPr>
          <w:color w:val="000000"/>
          <w:lang w:val="en"/>
        </w:rPr>
        <w:t xml:space="preserve"> </w:t>
      </w:r>
      <w:r>
        <w:rPr>
          <w:color w:val="000000"/>
          <w:lang w:val="en"/>
        </w:rPr>
        <w:t>bidders must register by providing their complete</w:t>
      </w:r>
      <w:r>
        <w:rPr>
          <w:color w:val="000000"/>
          <w:lang w:val="en"/>
        </w:rPr>
        <w:t xml:space="preserve"> </w:t>
      </w:r>
      <w:r>
        <w:rPr>
          <w:color w:val="000000"/>
          <w:lang w:val="en"/>
        </w:rPr>
        <w:t>contact information:</w:t>
      </w:r>
      <w:r>
        <w:rPr>
          <w:color w:val="000000"/>
          <w:lang w:val="en"/>
        </w:rPr>
        <w:t xml:space="preserve"> </w:t>
      </w:r>
      <w:r>
        <w:rPr>
          <w:color w:val="000000"/>
          <w:lang w:val="en"/>
        </w:rPr>
        <w:t>Postal Address,Telephone</w:t>
      </w:r>
      <w:r>
        <w:rPr>
          <w:color w:val="000000"/>
          <w:lang w:val="en"/>
        </w:rPr>
        <w:t xml:space="preserve"> </w:t>
      </w:r>
      <w:r>
        <w:rPr>
          <w:color w:val="000000"/>
          <w:lang w:val="en"/>
        </w:rPr>
        <w:t>,Fax and Email.</w:t>
      </w:r>
      <w:r>
        <w:rPr>
          <w:color w:val="000000"/>
          <w:lang w:val="en"/>
        </w:rPr>
        <w:t xml:space="preserve"> </w:t>
      </w:r>
      <w:r>
        <w:rPr>
          <w:color w:val="000000"/>
          <w:lang w:val="en"/>
        </w:rPr>
        <w:t>It is also possible to be obtain an electronic version by free download at the aforementioned addresses . How</w:t>
      </w:r>
      <w:r>
        <w:rPr>
          <w:color w:val="000000"/>
          <w:lang w:val="en"/>
        </w:rPr>
        <w:t xml:space="preserve"> </w:t>
      </w:r>
      <w:r>
        <w:rPr>
          <w:color w:val="000000"/>
          <w:lang w:val="en"/>
        </w:rPr>
        <w:t>ever,</w:t>
      </w:r>
      <w:r>
        <w:rPr>
          <w:color w:val="000000"/>
          <w:lang w:val="en"/>
        </w:rPr>
        <w:t xml:space="preserve"> </w:t>
      </w:r>
      <w:r>
        <w:rPr>
          <w:color w:val="000000"/>
          <w:lang w:val="en"/>
        </w:rPr>
        <w:t>submission</w:t>
      </w:r>
      <w:r>
        <w:rPr>
          <w:color w:val="000000"/>
          <w:lang w:val="en"/>
        </w:rPr>
        <w:t xml:space="preserve"> </w:t>
      </w:r>
      <w:r>
        <w:rPr>
          <w:color w:val="000000"/>
          <w:lang w:val="en"/>
        </w:rPr>
        <w:t>in physical or electronic</w:t>
      </w:r>
      <w:r>
        <w:rPr>
          <w:color w:val="000000"/>
          <w:lang w:val="en"/>
        </w:rPr>
        <w:t xml:space="preserve"> </w:t>
      </w:r>
      <w:r>
        <w:rPr>
          <w:color w:val="000000"/>
          <w:lang w:val="en"/>
        </w:rPr>
        <w:t>form is conditional upon the payment of the acquisition fees for the Tender Documents.</w:t>
      </w:r>
    </w:p>
    <w:p>
      <w:pPr>
        <w:spacing w:after="0" w:line="240" w:lineRule="auto"/>
        <w:ind w:right="172" w:firstLine="708"/>
        <w:jc w:val="both"/>
        <w:rPr>
          <w:b/>
          <w:color w:val="000000"/>
          <w:lang w:val="en"/>
        </w:rPr>
      </w:pPr>
      <w:r>
        <w:rPr>
          <w:b/>
          <w:color w:val="000000"/>
          <w:lang w:val="en"/>
        </w:rPr>
        <w:t>12- Submission of Bids</w:t>
      </w:r>
    </w:p>
    <w:p>
      <w:pPr>
        <w:spacing w:after="0" w:line="240" w:lineRule="auto"/>
        <w:ind w:right="172"/>
        <w:jc w:val="both"/>
        <w:rPr>
          <w:color w:val="000000"/>
          <w:lang w:val="en"/>
        </w:rPr>
      </w:pPr>
      <w:r>
        <w:rPr>
          <w:color w:val="000000"/>
          <w:lang w:val="en"/>
        </w:rPr>
        <w:t xml:space="preserve">Each bid, written in French or English and submitted in seven (7) copies, including one (1) original and six (6) copies marked as such, must be delivered to the General Secretariat of the Biwong Bulu Municipality no later than  </w:t>
      </w:r>
      <w:r>
        <w:rPr>
          <w:color w:val="000000"/>
          <w:lang w:val="fr-FR"/>
        </w:rPr>
        <w:t>10/06/2025</w:t>
      </w:r>
      <w:r>
        <w:rPr>
          <w:color w:val="000000"/>
          <w:lang w:val="en"/>
        </w:rPr>
        <w:t xml:space="preserve">   , at </w:t>
      </w:r>
      <w:r>
        <w:rPr>
          <w:color w:val="000000"/>
          <w:lang w:val="fr-FR"/>
        </w:rPr>
        <w:t>2</w:t>
      </w:r>
      <w:r>
        <w:rPr>
          <w:color w:val="000000"/>
          <w:lang w:val="en"/>
        </w:rPr>
        <w:t>:00 p.m., local time.The submitted bids must bear the following statement:</w:t>
      </w:r>
    </w:p>
    <w:p>
      <w:pPr>
        <w:spacing w:after="0" w:line="240" w:lineRule="auto"/>
        <w:ind w:right="172"/>
        <w:jc w:val="center"/>
        <w:rPr>
          <w:b/>
          <w:color w:val="000000"/>
          <w:lang w:val="en"/>
        </w:rPr>
      </w:pPr>
      <w:r>
        <w:rPr>
          <w:color w:val="000000"/>
          <w:lang w:val="en"/>
        </w:rPr>
        <w:t>"</w:t>
      </w:r>
      <w:r>
        <w:rPr>
          <w:b/>
          <w:color w:val="000000"/>
          <w:lang w:val="en"/>
        </w:rPr>
        <w:t>NATIONAL OPEN CALL FOR TENDERS UNDER NOTICE N° 010</w:t>
      </w:r>
      <w:r>
        <w:rPr>
          <w:b/>
          <w:color w:val="000000"/>
          <w:lang w:val="en"/>
        </w:rPr>
        <w:t xml:space="preserve">(bis) </w:t>
      </w:r>
      <w:r>
        <w:rPr>
          <w:b/>
          <w:color w:val="000000"/>
          <w:lang w:val="en"/>
        </w:rPr>
        <w:t xml:space="preserve">/AONO/PU//C-BBULU/CIPM/2025 OF  </w:t>
      </w:r>
      <w:r>
        <w:rPr>
          <w:b/>
          <w:color w:val="000000"/>
          <w:lang w:val="fr-FR"/>
        </w:rPr>
        <w:t>09/06/2025</w:t>
      </w:r>
      <w:r>
        <w:rPr>
          <w:b/>
          <w:color w:val="000000"/>
          <w:lang w:val="en"/>
        </w:rPr>
        <w:t xml:space="preserve">   FOR THE COMPLETION WORKS OF CSI OF EMINEVOM I IN THE COMMUNE OF BIWONG BULU, MVILA DEPARTMENT, SOUTHERN REGION</w:t>
      </w:r>
      <w:r>
        <w:rPr>
          <w:color w:val="000000"/>
          <w:lang w:val="en"/>
        </w:rPr>
        <w:t>"</w:t>
      </w:r>
      <w:r>
        <w:rPr>
          <w:b/>
          <w:color w:val="000000"/>
          <w:lang w:val="en"/>
        </w:rPr>
        <w:t>.</w:t>
      </w:r>
    </w:p>
    <w:p>
      <w:pPr>
        <w:spacing w:after="0" w:line="240" w:lineRule="auto"/>
        <w:ind w:right="172"/>
        <w:jc w:val="center"/>
        <w:rPr>
          <w:color w:val="000000"/>
          <w:lang w:val="en"/>
        </w:rPr>
      </w:pPr>
      <w:r>
        <w:rPr>
          <w:color w:val="000000"/>
          <w:lang w:val="en"/>
        </w:rPr>
        <w:t>"</w:t>
      </w:r>
      <w:r>
        <w:rPr>
          <w:b/>
          <w:color w:val="000000"/>
          <w:lang w:val="en"/>
        </w:rPr>
        <w:t>To be opened only during the bid opening session</w:t>
      </w:r>
      <w:r>
        <w:rPr>
          <w:color w:val="000000"/>
          <w:lang w:val="en"/>
        </w:rPr>
        <w:t>."</w:t>
      </w:r>
    </w:p>
    <w:p>
      <w:pPr>
        <w:spacing w:after="0" w:line="240" w:lineRule="auto"/>
        <w:ind w:right="172" w:firstLine="708"/>
        <w:jc w:val="both"/>
        <w:rPr>
          <w:b/>
          <w:color w:val="000000"/>
          <w:lang w:val="en"/>
        </w:rPr>
      </w:pPr>
      <w:r>
        <w:rPr>
          <w:b/>
          <w:color w:val="000000"/>
          <w:lang w:val="en"/>
        </w:rPr>
        <w:t>13-Acceptability of Bids</w:t>
      </w:r>
    </w:p>
    <w:p>
      <w:pPr>
        <w:spacing w:after="0" w:line="240" w:lineRule="auto"/>
        <w:ind w:right="172"/>
        <w:jc w:val="both"/>
        <w:rPr>
          <w:color w:val="000000"/>
          <w:lang w:val="en"/>
        </w:rPr>
      </w:pPr>
      <w:r>
        <w:rPr>
          <w:color w:val="000000"/>
          <w:lang w:val="en"/>
        </w:rPr>
        <w:t>The administrative documents, the technical offer, and the financial offer must be placed in separate envelopes and submitted in a sealed package. The following will be deemed unacceptable by the Contracting Authority:</w:t>
      </w:r>
    </w:p>
    <w:p>
      <w:pPr>
        <w:spacing w:after="0" w:line="240" w:lineRule="auto"/>
        <w:ind w:right="172"/>
        <w:jc w:val="both"/>
        <w:rPr>
          <w:color w:val="000000"/>
          <w:lang w:val="en"/>
        </w:rPr>
      </w:pPr>
      <w:r>
        <w:rPr>
          <w:color w:val="000000"/>
          <w:lang w:val="en"/>
        </w:rPr>
        <w:t>• Bids containing the identity of the bidder;</w:t>
      </w:r>
    </w:p>
    <w:p>
      <w:pPr>
        <w:spacing w:after="0" w:line="240" w:lineRule="auto"/>
        <w:ind w:right="172"/>
        <w:jc w:val="both"/>
        <w:rPr>
          <w:color w:val="000000"/>
          <w:lang w:val="en"/>
        </w:rPr>
      </w:pPr>
      <w:r>
        <w:rPr>
          <w:color w:val="000000"/>
          <w:lang w:val="en"/>
        </w:rPr>
        <w:t>• Bids submitted after the deadlines;</w:t>
      </w:r>
    </w:p>
    <w:p>
      <w:pPr>
        <w:spacing w:after="0" w:line="240" w:lineRule="auto"/>
        <w:ind w:right="172"/>
        <w:jc w:val="both"/>
        <w:rPr>
          <w:color w:val="000000"/>
          <w:lang w:val="en"/>
        </w:rPr>
      </w:pPr>
      <w:r>
        <w:rPr>
          <w:color w:val="000000"/>
          <w:lang w:val="en"/>
        </w:rPr>
        <w:t>• Bids non-compliant with the submission mode;</w:t>
      </w:r>
    </w:p>
    <w:p>
      <w:pPr>
        <w:spacing w:after="0" w:line="240" w:lineRule="auto"/>
        <w:ind w:right="172"/>
        <w:jc w:val="both"/>
        <w:rPr>
          <w:color w:val="000000"/>
          <w:lang w:val="en"/>
        </w:rPr>
      </w:pPr>
      <w:r>
        <w:rPr>
          <w:color w:val="000000"/>
          <w:lang w:val="en"/>
        </w:rPr>
        <w:t>• Bids without an indication of the identity of the Call for Tenders;</w:t>
      </w:r>
    </w:p>
    <w:p>
      <w:pPr>
        <w:spacing w:after="0" w:line="240" w:lineRule="auto"/>
        <w:ind w:right="172"/>
        <w:jc w:val="both"/>
        <w:rPr>
          <w:color w:val="000000"/>
          <w:lang w:val="en"/>
        </w:rPr>
      </w:pPr>
      <w:r>
        <w:rPr>
          <w:color w:val="000000"/>
          <w:lang w:val="en"/>
        </w:rPr>
        <w:t>• Failure to meet the number of copies specified in the RPAO of submission in copies only.</w:t>
      </w:r>
    </w:p>
    <w:p>
      <w:pPr>
        <w:spacing w:after="0" w:line="240" w:lineRule="auto"/>
        <w:ind w:right="172"/>
        <w:jc w:val="both"/>
        <w:rPr>
          <w:color w:val="000000"/>
          <w:lang w:val="en"/>
        </w:rPr>
      </w:pPr>
      <w:r>
        <w:rPr>
          <w:color w:val="000000"/>
          <w:lang w:val="en"/>
        </w:rPr>
        <w:t xml:space="preserve">Any incomplete bid in accordance with the requirements of the Tender Documents will be declared inadmissible. In particular, the absence of a bid bond issued by an organization or financial institution approved by the Minister in charge of Finance to issue bonds in public contracts or non-compliance with models of the Tender Document procurement, or failure to comply with the templates of the documents in the Tender Documents will result in the outright rejection of the bid without any appeal.. A bid bond unrelated to the relevant consultation is considered absent. A bid bond presented by a bidder during the bid opening session is inadmissible. </w:t>
      </w:r>
    </w:p>
    <w:p>
      <w:pPr>
        <w:spacing w:line="240" w:lineRule="auto"/>
        <w:rPr>
          <w:b/>
          <w:lang w:val="en-US"/>
        </w:rPr>
      </w:pPr>
      <w:r>
        <w:rPr>
          <w:b/>
          <w:lang w:val="en-US"/>
        </w:rPr>
        <w:t xml:space="preserve">               14. Bid Opening</w:t>
      </w:r>
    </w:p>
    <w:p>
      <w:pPr>
        <w:spacing w:line="240" w:lineRule="auto"/>
        <w:rPr>
          <w:b/>
          <w:lang w:val="en-US"/>
        </w:rPr>
      </w:pPr>
      <w:r>
        <w:rPr>
          <w:lang w:val="en-US"/>
        </w:rPr>
        <w:t xml:space="preserve">The bid opening will be conducted in one (01) session, The opening of Administrative, Technical and financial Offers will take place on  </w:t>
      </w:r>
      <w:r>
        <w:rPr>
          <w:lang w:val="fr-FR"/>
        </w:rPr>
        <w:t>10/06/2025</w:t>
      </w:r>
      <w:r>
        <w:rPr>
          <w:lang w:val="en-US"/>
        </w:rPr>
        <w:t xml:space="preserve">   at </w:t>
      </w:r>
      <w:r>
        <w:rPr>
          <w:lang w:val="fr-FR"/>
        </w:rPr>
        <w:t>3</w:t>
      </w:r>
      <w:r>
        <w:rPr>
          <w:lang w:val="en-US"/>
        </w:rPr>
        <w:t>:00 PM, local time, in the meeting room of the BIWONG BULU Municipality. Only bidders may attend this opening session or be represented by one duly authorized person of their choice, even in the case of a consortium.</w:t>
      </w:r>
    </w:p>
    <w:p>
      <w:pPr>
        <w:spacing w:line="240" w:lineRule="auto"/>
        <w:rPr>
          <w:b/>
          <w:lang w:val="en-US"/>
        </w:rPr>
      </w:pPr>
      <w:r>
        <w:rPr>
          <w:lang w:val="en-US"/>
        </w:rPr>
        <w:t>Under penalty of rejection, the required administrative documents must be presented as originals or certified copies issued by the relevant service or competent administrative authority, in accordance with the provisions of the Special Regulations of the Call for Tenders. These documents must be dated less than three (03) months or issued after the date of signature of the Call for Tenders notice.</w:t>
      </w:r>
    </w:p>
    <w:p>
      <w:pPr>
        <w:spacing w:line="240" w:lineRule="auto"/>
        <w:rPr>
          <w:lang w:val="en-US"/>
        </w:rPr>
      </w:pPr>
      <w:r>
        <w:rPr>
          <w:lang w:val="en-US"/>
        </w:rPr>
        <w:t>In case of absence or non-compliance of an administrative document during the bid opening, after a 48-hour period granted by the Commission, the bid will be rejected.</w:t>
      </w:r>
    </w:p>
    <w:p>
      <w:pPr>
        <w:spacing w:line="240" w:lineRule="auto"/>
        <w:rPr>
          <w:b/>
          <w:lang w:val="en-US"/>
        </w:rPr>
      </w:pPr>
      <w:r>
        <w:rPr>
          <w:b/>
          <w:lang w:val="en-US"/>
        </w:rPr>
        <w:t xml:space="preserve">              15. Evaluation Criteria</w:t>
      </w:r>
    </w:p>
    <w:p>
      <w:pPr>
        <w:spacing w:line="240" w:lineRule="auto"/>
        <w:rPr>
          <w:b/>
          <w:lang w:val="en-US"/>
        </w:rPr>
      </w:pPr>
      <w:r>
        <w:rPr>
          <w:b/>
          <w:lang w:val="en-US"/>
        </w:rPr>
        <w:t xml:space="preserve">              15.1 Disqualifying Criteria</w:t>
      </w:r>
    </w:p>
    <w:p>
      <w:pPr>
        <w:spacing w:line="240" w:lineRule="auto"/>
        <w:jc w:val="both"/>
      </w:pPr>
      <w:r>
        <w:rPr>
          <w:lang w:val="en-US"/>
        </w:rPr>
        <w:t xml:space="preserve">The disqualifying criteria set the minimum conditions to be met to be admitted for evaluation according to the essential criteria. Non-compliance with any of these criteria will result in the rejection of the bidder's offer. </w:t>
      </w:r>
      <w:r>
        <w:t>These include:</w:t>
      </w:r>
    </w:p>
    <w:p>
      <w:pPr>
        <w:pStyle w:val="62"/>
        <w:numPr>
          <w:ilvl w:val="0"/>
          <w:numId w:val="10"/>
        </w:numPr>
        <w:spacing w:line="240" w:lineRule="auto"/>
        <w:jc w:val="both"/>
        <w:rPr>
          <w:lang w:val="en-US"/>
        </w:rPr>
      </w:pPr>
      <w:r>
        <w:rPr>
          <w:lang w:val="en-US"/>
        </w:rPr>
        <w:t>Absence of the bid bond at the bid opening;</w:t>
      </w:r>
    </w:p>
    <w:p>
      <w:pPr>
        <w:pStyle w:val="62"/>
        <w:numPr>
          <w:ilvl w:val="0"/>
          <w:numId w:val="10"/>
        </w:numPr>
        <w:spacing w:line="240" w:lineRule="auto"/>
        <w:jc w:val="both"/>
        <w:rPr>
          <w:lang w:val="en-US"/>
        </w:rPr>
      </w:pPr>
      <w:r>
        <w:rPr>
          <w:lang w:val="en-US"/>
        </w:rPr>
        <w:t>Failure to produce, within 48 hours after the bid opening, an administrative document deemed non-compliant or missing during the bid opening (except for the bid bond);</w:t>
      </w:r>
    </w:p>
    <w:p>
      <w:pPr>
        <w:pStyle w:val="62"/>
        <w:numPr>
          <w:ilvl w:val="0"/>
          <w:numId w:val="10"/>
        </w:numPr>
        <w:spacing w:line="240" w:lineRule="auto"/>
        <w:jc w:val="both"/>
      </w:pPr>
      <w:r>
        <w:t>False statements, fraudulent practices, or falsified documents;</w:t>
      </w:r>
    </w:p>
    <w:p>
      <w:pPr>
        <w:pStyle w:val="62"/>
        <w:numPr>
          <w:ilvl w:val="0"/>
          <w:numId w:val="10"/>
        </w:numPr>
        <w:spacing w:line="240" w:lineRule="auto"/>
        <w:jc w:val="both"/>
        <w:rPr>
          <w:lang w:val="en-US"/>
        </w:rPr>
      </w:pPr>
      <w:r>
        <w:rPr>
          <w:lang w:val="en-US"/>
        </w:rPr>
        <w:t>Non-compliance with 70% of the essential criteria;</w:t>
      </w:r>
    </w:p>
    <w:p>
      <w:pPr>
        <w:pStyle w:val="62"/>
        <w:numPr>
          <w:ilvl w:val="0"/>
          <w:numId w:val="10"/>
        </w:numPr>
        <w:spacing w:line="240" w:lineRule="auto"/>
        <w:jc w:val="both"/>
        <w:rPr>
          <w:lang w:val="en-US"/>
        </w:rPr>
      </w:pPr>
      <w:r>
        <w:rPr>
          <w:lang w:val="en-US"/>
        </w:rPr>
        <w:t>Absence of the declaration on honor of no abandonment of projects over the past three years;</w:t>
      </w:r>
    </w:p>
    <w:p>
      <w:pPr>
        <w:pStyle w:val="62"/>
        <w:numPr>
          <w:ilvl w:val="0"/>
          <w:numId w:val="10"/>
        </w:numPr>
        <w:spacing w:line="240" w:lineRule="auto"/>
        <w:jc w:val="both"/>
        <w:rPr>
          <w:lang w:val="en-US"/>
        </w:rPr>
      </w:pPr>
      <w:r>
        <w:rPr>
          <w:lang w:val="en-US"/>
        </w:rPr>
        <w:t>Non-compliance with the file format of the bids:</w:t>
      </w:r>
    </w:p>
    <w:p>
      <w:pPr>
        <w:pStyle w:val="62"/>
        <w:numPr>
          <w:ilvl w:val="0"/>
          <w:numId w:val="10"/>
        </w:numPr>
        <w:spacing w:line="240" w:lineRule="auto"/>
        <w:jc w:val="both"/>
        <w:rPr>
          <w:lang w:val="en-US"/>
        </w:rPr>
      </w:pPr>
      <w:r>
        <w:rPr>
          <w:lang w:val="en-US"/>
        </w:rPr>
        <w:t>Absence of a unit price quantified in the financial offer:</w:t>
      </w:r>
    </w:p>
    <w:p>
      <w:pPr>
        <w:pStyle w:val="62"/>
        <w:numPr>
          <w:ilvl w:val="0"/>
          <w:numId w:val="10"/>
        </w:numPr>
        <w:spacing w:line="240" w:lineRule="auto"/>
        <w:jc w:val="both"/>
        <w:rPr>
          <w:lang w:val="en-US"/>
        </w:rPr>
      </w:pPr>
      <w:r>
        <w:rPr>
          <w:lang w:val="en-US"/>
        </w:rPr>
        <w:t>Absence of prospectuses accompanied by the manufacturer's technical sheets, if applicable;</w:t>
      </w:r>
    </w:p>
    <w:p>
      <w:pPr>
        <w:pStyle w:val="62"/>
        <w:numPr>
          <w:ilvl w:val="0"/>
          <w:numId w:val="10"/>
        </w:numPr>
        <w:spacing w:line="240" w:lineRule="auto"/>
        <w:jc w:val="both"/>
        <w:rPr>
          <w:lang w:val="en-US"/>
        </w:rPr>
      </w:pPr>
      <w:r>
        <w:rPr>
          <w:lang w:val="en-US"/>
        </w:rPr>
        <w:t>Absence of approval or authorization from the manufacturer, if applicable;</w:t>
      </w:r>
    </w:p>
    <w:p>
      <w:pPr>
        <w:pStyle w:val="62"/>
        <w:numPr>
          <w:ilvl w:val="0"/>
          <w:numId w:val="10"/>
        </w:numPr>
        <w:spacing w:line="240" w:lineRule="auto"/>
        <w:jc w:val="both"/>
        <w:rPr>
          <w:lang w:val="en-US"/>
        </w:rPr>
      </w:pPr>
      <w:r>
        <w:rPr>
          <w:lang w:val="en-US"/>
        </w:rPr>
        <w:t>Failure to own or rent minimum equipment (as specified by the Contracting Authority)</w:t>
      </w:r>
    </w:p>
    <w:p>
      <w:pPr>
        <w:pStyle w:val="62"/>
        <w:numPr>
          <w:ilvl w:val="0"/>
          <w:numId w:val="10"/>
        </w:numPr>
        <w:spacing w:line="240" w:lineRule="auto"/>
        <w:jc w:val="both"/>
        <w:rPr>
          <w:lang w:val="en-US"/>
        </w:rPr>
      </w:pPr>
      <w:r>
        <w:rPr>
          <w:lang w:val="en-US"/>
        </w:rPr>
        <w:t>Absence of categorization certification, if applicable;</w:t>
      </w:r>
    </w:p>
    <w:p>
      <w:pPr>
        <w:pStyle w:val="62"/>
        <w:numPr>
          <w:ilvl w:val="0"/>
          <w:numId w:val="10"/>
        </w:numPr>
        <w:spacing w:line="240" w:lineRule="auto"/>
        <w:jc w:val="both"/>
        <w:rPr>
          <w:lang w:val="en-US"/>
        </w:rPr>
      </w:pPr>
      <w:r>
        <w:rPr>
          <w:lang w:val="en-US"/>
        </w:rPr>
        <w:t>Absence of a financial offer component (submission form, BPU, DQE);</w:t>
      </w:r>
    </w:p>
    <w:p>
      <w:pPr>
        <w:pStyle w:val="62"/>
        <w:numPr>
          <w:ilvl w:val="0"/>
          <w:numId w:val="10"/>
        </w:numPr>
        <w:spacing w:line="240" w:lineRule="auto"/>
        <w:jc w:val="both"/>
        <w:rPr>
          <w:lang w:val="en-US"/>
        </w:rPr>
      </w:pPr>
      <w:r>
        <w:rPr>
          <w:lang w:val="en-US"/>
        </w:rPr>
        <w:t>Absence of a dated and signed integrity charter;</w:t>
      </w:r>
    </w:p>
    <w:p>
      <w:pPr>
        <w:pStyle w:val="62"/>
        <w:numPr>
          <w:ilvl w:val="0"/>
          <w:numId w:val="10"/>
        </w:numPr>
        <w:spacing w:line="240" w:lineRule="auto"/>
        <w:jc w:val="both"/>
        <w:rPr>
          <w:lang w:val="en-US"/>
        </w:rPr>
      </w:pPr>
      <w:r>
        <w:rPr>
          <w:lang w:val="en-US"/>
        </w:rPr>
        <w:t>Absence of a dated and signed declaration of commitment to comply with environmental and social clauses.</w:t>
      </w:r>
    </w:p>
    <w:p>
      <w:pPr>
        <w:spacing w:line="240" w:lineRule="auto"/>
        <w:ind w:left="360"/>
        <w:jc w:val="both"/>
        <w:rPr>
          <w:lang w:val="en-US"/>
        </w:rPr>
      </w:pPr>
      <w:r>
        <w:rPr>
          <w:b/>
          <w:lang w:val="en-US"/>
        </w:rPr>
        <w:t>Note</w:t>
      </w:r>
      <w:r>
        <w:rPr>
          <w:lang w:val="en-US"/>
        </w:rPr>
        <w:t>: Depending on the specificity of the service, other relevant criteria may be added during the preparation of the Call for Tenders documents.</w:t>
      </w:r>
    </w:p>
    <w:p>
      <w:pPr>
        <w:spacing w:line="240" w:lineRule="auto"/>
        <w:rPr>
          <w:b/>
          <w:lang w:val="en-US"/>
        </w:rPr>
      </w:pPr>
      <w:r>
        <w:rPr>
          <w:lang w:val="en-US"/>
        </w:rPr>
        <w:t xml:space="preserve">               </w:t>
      </w:r>
      <w:r>
        <w:rPr>
          <w:b/>
          <w:lang w:val="en-US"/>
        </w:rPr>
        <w:t>15.2 Essential Criteria</w:t>
      </w:r>
    </w:p>
    <w:p>
      <w:pPr>
        <w:spacing w:line="240" w:lineRule="auto"/>
        <w:rPr>
          <w:lang w:val="en-US"/>
        </w:rPr>
      </w:pPr>
      <w:r>
        <w:rPr>
          <w:lang w:val="en-US"/>
        </w:rPr>
        <w:t>The essential criteria for qualifying bidders will include, but are not limited to:</w:t>
      </w:r>
    </w:p>
    <w:p>
      <w:pPr>
        <w:pStyle w:val="62"/>
        <w:numPr>
          <w:ilvl w:val="0"/>
          <w:numId w:val="11"/>
        </w:numPr>
        <w:spacing w:line="240" w:lineRule="auto"/>
        <w:rPr>
          <w:lang w:val="en-US"/>
        </w:rPr>
      </w:pPr>
      <w:r>
        <w:rPr>
          <w:lang w:val="en-US"/>
        </w:rPr>
        <w:t>The presentation of the bid:</w:t>
      </w:r>
    </w:p>
    <w:p>
      <w:pPr>
        <w:pStyle w:val="62"/>
        <w:numPr>
          <w:ilvl w:val="0"/>
          <w:numId w:val="11"/>
        </w:numPr>
        <w:spacing w:line="240" w:lineRule="auto"/>
      </w:pPr>
      <w:r>
        <w:t>The bidder's references;</w:t>
      </w:r>
    </w:p>
    <w:p>
      <w:pPr>
        <w:pStyle w:val="62"/>
        <w:numPr>
          <w:ilvl w:val="0"/>
          <w:numId w:val="11"/>
        </w:numPr>
        <w:spacing w:line="240" w:lineRule="auto"/>
        <w:rPr>
          <w:lang w:val="en-US"/>
        </w:rPr>
      </w:pPr>
      <w:r>
        <w:rPr>
          <w:lang w:val="en-US"/>
        </w:rPr>
        <w:t>Financial capacity (access to a credit line or other financial resources, turnover, solvency certificate);</w:t>
      </w:r>
    </w:p>
    <w:p>
      <w:pPr>
        <w:pStyle w:val="62"/>
        <w:numPr>
          <w:ilvl w:val="0"/>
          <w:numId w:val="11"/>
        </w:numPr>
        <w:spacing w:line="240" w:lineRule="auto"/>
        <w:rPr>
          <w:lang w:val="en-US"/>
        </w:rPr>
      </w:pPr>
      <w:r>
        <w:rPr>
          <w:lang w:val="en-US"/>
        </w:rPr>
        <w:t>Qualifications and experience of the personnel;</w:t>
      </w:r>
    </w:p>
    <w:p>
      <w:pPr>
        <w:pStyle w:val="62"/>
        <w:numPr>
          <w:ilvl w:val="0"/>
          <w:numId w:val="11"/>
        </w:numPr>
        <w:spacing w:line="240" w:lineRule="auto"/>
      </w:pPr>
      <w:r>
        <w:t>Logistical means;</w:t>
      </w:r>
    </w:p>
    <w:p>
      <w:pPr>
        <w:pStyle w:val="62"/>
        <w:numPr>
          <w:ilvl w:val="0"/>
          <w:numId w:val="11"/>
        </w:numPr>
        <w:spacing w:line="240" w:lineRule="auto"/>
      </w:pPr>
      <w:r>
        <w:t>Methodology:</w:t>
      </w:r>
    </w:p>
    <w:p>
      <w:pPr>
        <w:pStyle w:val="62"/>
        <w:numPr>
          <w:ilvl w:val="0"/>
          <w:numId w:val="11"/>
        </w:numPr>
        <w:spacing w:line="240" w:lineRule="auto"/>
        <w:rPr>
          <w:lang w:val="en-US"/>
        </w:rPr>
      </w:pPr>
      <w:r>
        <w:rPr>
          <w:lang w:val="en-US"/>
        </w:rPr>
        <w:t>Proofs of acceptance of market conditions.</w:t>
      </w:r>
    </w:p>
    <w:p>
      <w:pPr>
        <w:spacing w:line="240" w:lineRule="auto"/>
        <w:rPr>
          <w:b/>
          <w:lang w:val="en-US"/>
        </w:rPr>
      </w:pPr>
      <w:r>
        <w:rPr>
          <w:lang w:val="en-US"/>
        </w:rPr>
        <w:t xml:space="preserve">            </w:t>
      </w:r>
      <w:r>
        <w:rPr>
          <w:b/>
          <w:lang w:val="en-US"/>
        </w:rPr>
        <w:t>16. Awarding</w:t>
      </w:r>
    </w:p>
    <w:p>
      <w:pPr>
        <w:spacing w:line="240" w:lineRule="auto"/>
        <w:jc w:val="both"/>
        <w:rPr>
          <w:lang w:val="en-US"/>
        </w:rPr>
      </w:pPr>
      <w:r>
        <w:rPr>
          <w:lang w:val="en-US"/>
        </w:rPr>
        <w:t>The Contracting Authority awards the contract to the bidder who has submitted an offer meeting the required technical and financial qualification criteria, and whose offer is evaluated as the lowest responsive bid.</w:t>
      </w:r>
    </w:p>
    <w:p>
      <w:pPr>
        <w:spacing w:line="240" w:lineRule="auto"/>
        <w:rPr>
          <w:b/>
          <w:lang w:val="en-US"/>
        </w:rPr>
      </w:pPr>
      <w:r>
        <w:rPr>
          <w:lang w:val="en-US"/>
        </w:rPr>
        <w:t xml:space="preserve">             </w:t>
      </w:r>
      <w:r>
        <w:rPr>
          <w:b/>
          <w:lang w:val="en-US"/>
        </w:rPr>
        <w:t>17. Maximum Number of Lots</w:t>
      </w:r>
    </w:p>
    <w:p>
      <w:pPr>
        <w:spacing w:line="240" w:lineRule="auto"/>
        <w:rPr>
          <w:lang w:val="en-US"/>
        </w:rPr>
      </w:pPr>
      <w:r>
        <w:rPr>
          <w:lang w:val="en-US"/>
        </w:rPr>
        <w:t>The works are in a single unique lot.</w:t>
      </w:r>
    </w:p>
    <w:p>
      <w:pPr>
        <w:spacing w:line="240" w:lineRule="auto"/>
        <w:rPr>
          <w:b/>
          <w:lang w:val="en-US"/>
        </w:rPr>
      </w:pPr>
      <w:r>
        <w:rPr>
          <w:lang w:val="en-US"/>
        </w:rPr>
        <w:t xml:space="preserve">            </w:t>
      </w:r>
      <w:r>
        <w:rPr>
          <w:b/>
          <w:lang w:val="en-US"/>
        </w:rPr>
        <w:t>18. Validity Duration of Bids</w:t>
      </w:r>
    </w:p>
    <w:p>
      <w:pPr>
        <w:spacing w:line="240" w:lineRule="auto"/>
        <w:rPr>
          <w:lang w:val="en-US"/>
        </w:rPr>
      </w:pPr>
      <w:r>
        <w:rPr>
          <w:lang w:val="en-US"/>
        </w:rPr>
        <w:t>Bidders are bound by their bids for 90 days from the initial deadline set for bid submission.</w:t>
      </w:r>
    </w:p>
    <w:p>
      <w:pPr>
        <w:spacing w:line="240" w:lineRule="auto"/>
        <w:rPr>
          <w:b/>
          <w:lang w:val="en-US"/>
        </w:rPr>
      </w:pPr>
      <w:r>
        <w:rPr>
          <w:b/>
          <w:lang w:val="en-US"/>
        </w:rPr>
        <w:t xml:space="preserve">             19. Additional Information</w:t>
      </w:r>
    </w:p>
    <w:p>
      <w:pPr>
        <w:spacing w:line="240" w:lineRule="auto"/>
        <w:jc w:val="both"/>
        <w:rPr>
          <w:lang w:val="en-US"/>
        </w:rPr>
      </w:pPr>
      <w:r>
        <w:rPr>
          <w:lang w:val="en-US"/>
        </w:rPr>
        <w:t xml:space="preserve">Additional information can be obtained during working hours at the BIWONG-BULU MUNICIPALITY (General Secretariat), PO. Box, Tel: 683689096 or online on the COLEPS plateform at following addresses : </w:t>
      </w:r>
      <w:r>
        <w:fldChar w:fldCharType="begin"/>
      </w:r>
      <w:r>
        <w:instrText xml:space="preserve"> HYPERLINK "http://www.marchespublics.cm" </w:instrText>
      </w:r>
      <w:r>
        <w:fldChar w:fldCharType="separate"/>
      </w:r>
      <w:r>
        <w:rPr>
          <w:rStyle w:val="21"/>
          <w:lang w:val="en-US"/>
        </w:rPr>
        <w:t>http://www.marchespublics.cm</w:t>
      </w:r>
      <w:r>
        <w:rPr>
          <w:rStyle w:val="21"/>
          <w:lang w:val="en-US"/>
        </w:rPr>
        <w:fldChar w:fldCharType="end"/>
      </w:r>
      <w:r>
        <w:rPr>
          <w:lang w:val="en-US"/>
        </w:rPr>
        <w:t>, http://www.publiccontracts.cm.</w:t>
      </w:r>
    </w:p>
    <w:p>
      <w:pPr>
        <w:spacing w:line="240" w:lineRule="auto"/>
        <w:rPr>
          <w:b/>
          <w:lang w:val="en-US"/>
        </w:rPr>
      </w:pPr>
      <w:r>
        <w:rPr>
          <w:lang w:val="en-US"/>
        </w:rPr>
        <w:t xml:space="preserve">              </w:t>
      </w:r>
      <w:r>
        <w:rPr>
          <w:b/>
          <w:lang w:val="en-US"/>
        </w:rPr>
        <w:t>20. Anti-Corruption and Malpractices</w:t>
      </w:r>
    </w:p>
    <w:p>
      <w:pPr>
        <w:spacing w:line="240" w:lineRule="auto"/>
        <w:jc w:val="both"/>
        <w:rPr>
          <w:lang w:val="en-US"/>
        </w:rPr>
      </w:pPr>
      <w:r>
        <w:rPr>
          <w:lang w:val="en-US"/>
        </w:rPr>
        <w:t>To report any practices, acts, or incidents of corruption or malpractice, please call CONAC at 1517, the Public Contracts Authority (MINMAP) (SMS or call) at the numbers: (+237) 673 20 57 25 and 699 37 07 48, ARMP at 222 20 18 03, or the Contracting Authority at 696 38 29 76.</w:t>
      </w:r>
    </w:p>
    <w:p>
      <w:pPr>
        <w:spacing w:after="0" w:line="240" w:lineRule="auto"/>
        <w:jc w:val="both"/>
        <w:rPr>
          <w:color w:val="000000"/>
          <w:lang w:val="en-US"/>
        </w:rPr>
      </w:pPr>
    </w:p>
    <w:p>
      <w:pPr>
        <w:spacing w:after="0" w:line="240" w:lineRule="auto"/>
        <w:ind w:left="114" w:right="172"/>
        <w:jc w:val="center"/>
        <w:rPr>
          <w:color w:val="000000"/>
          <w:lang w:val="en-US"/>
        </w:rPr>
      </w:pPr>
      <w:r>
        <mc:AlternateContent>
          <mc:Choice Requires="wps">
            <w:drawing>
              <wp:anchor distT="45720" distB="45720" distL="114300" distR="114300" simplePos="0" relativeHeight="251666432" behindDoc="0" locked="0" layoutInCell="1" allowOverlap="1">
                <wp:simplePos x="0" y="0"/>
                <wp:positionH relativeFrom="page">
                  <wp:posOffset>800100</wp:posOffset>
                </wp:positionH>
                <wp:positionV relativeFrom="paragraph">
                  <wp:posOffset>161290</wp:posOffset>
                </wp:positionV>
                <wp:extent cx="2294890" cy="1228725"/>
                <wp:effectExtent l="0" t="0" r="0" b="952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294890" cy="1228725"/>
                        </a:xfrm>
                        <a:prstGeom prst="rect">
                          <a:avLst/>
                        </a:prstGeom>
                        <a:solidFill>
                          <a:srgbClr val="FFFFFF"/>
                        </a:solidFill>
                        <a:ln w="9525">
                          <a:noFill/>
                          <a:miter lim="800000"/>
                        </a:ln>
                      </wps:spPr>
                      <wps:txbx>
                        <w:txbxContent>
                          <w:p>
                            <w:pPr>
                              <w:spacing w:line="240" w:lineRule="auto"/>
                              <w:rPr>
                                <w:b/>
                              </w:rPr>
                            </w:pPr>
                            <w:r>
                              <w:rPr>
                                <w:b/>
                              </w:rPr>
                              <w:t>Extensions:</w:t>
                            </w:r>
                          </w:p>
                          <w:p>
                            <w:pPr>
                              <w:spacing w:after="0" w:line="240" w:lineRule="auto"/>
                            </w:pPr>
                            <w:r>
                              <w:t>- MINMAP/MVILA</w:t>
                            </w:r>
                          </w:p>
                          <w:p>
                            <w:pPr>
                              <w:spacing w:after="0" w:line="240" w:lineRule="auto"/>
                            </w:pPr>
                            <w:r>
                              <w:t>- ARMP/SUD</w:t>
                            </w:r>
                          </w:p>
                          <w:p>
                            <w:pPr>
                              <w:spacing w:after="0" w:line="240" w:lineRule="auto"/>
                            </w:pPr>
                            <w:r>
                              <w:t>- CIPM</w:t>
                            </w:r>
                          </w:p>
                          <w:p>
                            <w:pPr>
                              <w:spacing w:after="0" w:line="240" w:lineRule="auto"/>
                              <w:rPr>
                                <w:lang w:val="en"/>
                              </w:rPr>
                            </w:pPr>
                            <w:r>
                              <w:rPr>
                                <w:lang w:val="en"/>
                              </w:rPr>
                              <w:t>- Display</w:t>
                            </w:r>
                          </w:p>
                          <w:p>
                            <w:pPr>
                              <w:spacing w:after="0" w:line="240" w:lineRule="auto"/>
                            </w:pPr>
                            <w:r>
                              <w:rPr>
                                <w:lang w:val="en"/>
                              </w:rPr>
                              <w:t>- Chrono</w:t>
                            </w:r>
                          </w:p>
                          <w:p>
                            <w:pPr>
                              <w:rPr>
                                <w:lang w:val="en-US"/>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3pt;margin-top:12.7pt;height:96.75pt;width:180.7pt;mso-position-horizontal-relative:page;mso-wrap-distance-bottom:3.6pt;mso-wrap-distance-left:9pt;mso-wrap-distance-right:9pt;mso-wrap-distance-top:3.6pt;z-index:251666432;mso-width-relative:page;mso-height-relative:page;" fillcolor="#FFFFFF" filled="t" stroked="f" coordsize="21600,21600" o:gfxdata="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yVbF1wAAAAoBAAAPAAAAAAAAAAEAIAAA&#10;ACIAAABkcnMvZG93bnJldi54bWxQSwECFAAUAAAACACHTuJABLo3Ew0CAAAGBAAADgAAAAAAAAAB&#10;ACAAAAAmAQAAZHJzL2Uyb0RvYy54bWxQSwUGAAAAAAYABgBZAQAApQUAAAAA&#10;">
                <v:fill on="t" focussize="0,0"/>
                <v:stroke on="f" miterlimit="8" joinstyle="miter"/>
                <v:imagedata o:title=""/>
                <o:lock v:ext="edit" aspectratio="f"/>
                <v:textbox>
                  <w:txbxContent>
                    <w:p>
                      <w:pPr>
                        <w:spacing w:line="240" w:lineRule="auto"/>
                        <w:rPr>
                          <w:b/>
                        </w:rPr>
                      </w:pPr>
                      <w:r>
                        <w:rPr>
                          <w:b/>
                        </w:rPr>
                        <w:t>Extensions:</w:t>
                      </w:r>
                    </w:p>
                    <w:p>
                      <w:pPr>
                        <w:spacing w:after="0" w:line="240" w:lineRule="auto"/>
                      </w:pPr>
                      <w:r>
                        <w:t>- MINMAP/MVILA</w:t>
                      </w:r>
                    </w:p>
                    <w:p>
                      <w:pPr>
                        <w:spacing w:after="0" w:line="240" w:lineRule="auto"/>
                      </w:pPr>
                      <w:r>
                        <w:t>- ARMP/SUD</w:t>
                      </w:r>
                    </w:p>
                    <w:p>
                      <w:pPr>
                        <w:spacing w:after="0" w:line="240" w:lineRule="auto"/>
                      </w:pPr>
                      <w:r>
                        <w:t>- CIPM</w:t>
                      </w:r>
                    </w:p>
                    <w:p>
                      <w:pPr>
                        <w:spacing w:after="0" w:line="240" w:lineRule="auto"/>
                        <w:rPr>
                          <w:lang w:val="en"/>
                        </w:rPr>
                      </w:pPr>
                      <w:r>
                        <w:rPr>
                          <w:lang w:val="en"/>
                        </w:rPr>
                        <w:t>- Display</w:t>
                      </w:r>
                    </w:p>
                    <w:p>
                      <w:pPr>
                        <w:spacing w:after="0" w:line="240" w:lineRule="auto"/>
                      </w:pPr>
                      <w:r>
                        <w:rPr>
                          <w:lang w:val="en"/>
                        </w:rPr>
                        <w:t>- Chrono</w:t>
                      </w:r>
                    </w:p>
                    <w:p>
                      <w:pPr>
                        <w:rPr>
                          <w:lang w:val="en-US"/>
                        </w:rPr>
                      </w:pPr>
                    </w:p>
                  </w:txbxContent>
                </v:textbox>
                <w10:wrap type="square"/>
              </v:shape>
            </w:pict>
          </mc:Fallback>
        </mc:AlternateContent>
      </w:r>
    </w:p>
    <w:p>
      <w:pPr>
        <w:spacing w:after="0" w:line="240" w:lineRule="auto"/>
        <w:ind w:left="114" w:right="172"/>
        <w:jc w:val="center"/>
        <w:rPr>
          <w:color w:val="000000"/>
          <w:lang w:val="en-US"/>
        </w:rPr>
      </w:pPr>
      <w:r>
        <mc:AlternateContent>
          <mc:Choice Requires="wps">
            <w:drawing>
              <wp:anchor distT="45720" distB="45720" distL="114300" distR="114300" simplePos="0" relativeHeight="251667456" behindDoc="0" locked="0" layoutInCell="1" allowOverlap="1">
                <wp:simplePos x="0" y="0"/>
                <wp:positionH relativeFrom="column">
                  <wp:posOffset>1341120</wp:posOffset>
                </wp:positionH>
                <wp:positionV relativeFrom="paragraph">
                  <wp:posOffset>106680</wp:posOffset>
                </wp:positionV>
                <wp:extent cx="3005455" cy="753745"/>
                <wp:effectExtent l="0" t="0" r="4445" b="8255"/>
                <wp:wrapSquare wrapText="bothSides"/>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05455" cy="753745"/>
                        </a:xfrm>
                        <a:prstGeom prst="rect">
                          <a:avLst/>
                        </a:prstGeom>
                        <a:solidFill>
                          <a:srgbClr val="FFFFFF"/>
                        </a:solidFill>
                        <a:ln w="9525">
                          <a:noFill/>
                          <a:miter lim="800000"/>
                        </a:ln>
                      </wps:spPr>
                      <wps:txbx>
                        <w:txbxContent>
                          <w:p>
                            <w:pPr>
                              <w:spacing w:after="0" w:line="240" w:lineRule="auto"/>
                              <w:rPr>
                                <w:lang w:val="en"/>
                              </w:rPr>
                            </w:pPr>
                            <w:r>
                              <w:rPr>
                                <w:lang w:val="en"/>
                              </w:rPr>
                              <w:t>BIWONG BULU, on ________________</w:t>
                            </w:r>
                            <w:r>
                              <w:rPr>
                                <w:lang w:val="en"/>
                              </w:rPr>
                              <w:tab/>
                            </w:r>
                            <w:r>
                              <w:rPr>
                                <w:lang w:val="en"/>
                              </w:rPr>
                              <w:t xml:space="preserve">                                                                                                                                                                                  </w:t>
                            </w:r>
                          </w:p>
                          <w:p>
                            <w:pPr>
                              <w:spacing w:after="0" w:line="240" w:lineRule="auto"/>
                              <w:rPr>
                                <w:lang w:val="en"/>
                              </w:rPr>
                            </w:pPr>
                            <w:r>
                              <w:rPr>
                                <w:lang w:val="en"/>
                              </w:rPr>
                              <w:t>THE MAYOR,</w:t>
                            </w:r>
                            <w:r>
                              <w:rPr>
                                <w:lang w:val="en"/>
                              </w:rPr>
                              <w:tab/>
                            </w:r>
                            <w:r>
                              <w:rPr>
                                <w:lang w:val="en"/>
                              </w:rPr>
                              <w:t xml:space="preserve">                                                                                                                                                         (CONTRACTING AUTHORITY)</w:t>
                            </w:r>
                          </w:p>
                          <w:p>
                            <w:pPr>
                              <w:spacing w:after="0" w:line="240" w:lineRule="auto"/>
                              <w:rPr>
                                <w:lang w:val="fr-FR"/>
                              </w:rPr>
                            </w:pPr>
                            <w:r>
                              <w:rPr>
                                <w:lang w:val="fr-FR"/>
                              </w:rPr>
                              <w:t>(e) Ebia Ndongo Samuel</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05.6pt;margin-top:8.4pt;height:59.35pt;width:236.65pt;mso-wrap-distance-bottom:3.6pt;mso-wrap-distance-left:9pt;mso-wrap-distance-right:9pt;mso-wrap-distance-top:3.6pt;z-index:251667456;mso-width-relative:page;mso-height-relative:page;" fillcolor="#FFFFFF" filled="t" stroked="f" coordsize="21600,21600" o:gfxdata="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aY8e1wAAAAoBAAAPAAAAAAAAAAEAIAAA&#10;ACIAAABkcnMvZG93bnJldi54bWxQSwECFAAUAAAACACHTuJAjdU2AA0CAAAEBAAADgAAAAAAAAAB&#10;ACAAAAAmAQAAZHJzL2Uyb0RvYy54bWxQSwUGAAAAAAYABgBZAQAApQUAAAAA&#10;">
                <v:fill on="t" focussize="0,0"/>
                <v:stroke on="f" miterlimit="8" joinstyle="miter"/>
                <v:imagedata o:title=""/>
                <o:lock v:ext="edit" aspectratio="f"/>
                <v:textbox>
                  <w:txbxContent>
                    <w:p>
                      <w:pPr>
                        <w:spacing w:after="0" w:line="240" w:lineRule="auto"/>
                        <w:rPr>
                          <w:lang w:val="en"/>
                        </w:rPr>
                      </w:pPr>
                      <w:r>
                        <w:rPr>
                          <w:lang w:val="en"/>
                        </w:rPr>
                        <w:t>BIWONG BULU, on ________________</w:t>
                      </w:r>
                      <w:r>
                        <w:rPr>
                          <w:lang w:val="en"/>
                        </w:rPr>
                        <w:tab/>
                      </w:r>
                      <w:r>
                        <w:rPr>
                          <w:lang w:val="en"/>
                        </w:rPr>
                        <w:t xml:space="preserve">                                                                                                                                                                                  </w:t>
                      </w:r>
                    </w:p>
                    <w:p>
                      <w:pPr>
                        <w:spacing w:after="0" w:line="240" w:lineRule="auto"/>
                        <w:rPr>
                          <w:lang w:val="en"/>
                        </w:rPr>
                      </w:pPr>
                      <w:r>
                        <w:rPr>
                          <w:lang w:val="en"/>
                        </w:rPr>
                        <w:t>THE MAYOR,</w:t>
                      </w:r>
                      <w:r>
                        <w:rPr>
                          <w:lang w:val="en"/>
                        </w:rPr>
                        <w:tab/>
                      </w:r>
                      <w:r>
                        <w:rPr>
                          <w:lang w:val="en"/>
                        </w:rPr>
                        <w:t xml:space="preserve">                                                                                                                                                         (CONTRACTING AUTHORITY)</w:t>
                      </w:r>
                    </w:p>
                    <w:p>
                      <w:pPr>
                        <w:spacing w:after="0" w:line="240" w:lineRule="auto"/>
                        <w:rPr>
                          <w:lang w:val="fr-FR"/>
                        </w:rPr>
                      </w:pPr>
                      <w:r>
                        <w:rPr>
                          <w:lang w:val="fr-FR"/>
                        </w:rPr>
                        <w:t>(e) Ebia Ndongo Samuel</w:t>
                      </w:r>
                    </w:p>
                  </w:txbxContent>
                </v:textbox>
                <w10:wrap type="square"/>
              </v:shape>
            </w:pict>
          </mc:Fallback>
        </mc:AlternateContent>
      </w:r>
    </w:p>
    <w:p>
      <w:pPr>
        <w:spacing w:line="240" w:lineRule="auto"/>
        <w:rPr>
          <w:lang w:val="en-US"/>
        </w:rPr>
      </w:pPr>
    </w:p>
    <w:p>
      <w:pPr>
        <w:pStyle w:val="3"/>
        <w:rPr>
          <w:b/>
          <w:lang w:val="en-US"/>
        </w:rPr>
      </w:pPr>
    </w:p>
    <w:p>
      <w:pPr>
        <w:pStyle w:val="3"/>
        <w:rPr>
          <w:b/>
          <w:lang w:val="en-US"/>
        </w:rPr>
      </w:pPr>
    </w:p>
    <w:p>
      <w:pPr>
        <w:pStyle w:val="3"/>
        <w:rPr>
          <w:b/>
          <w:lang w:val="en-US"/>
        </w:rPr>
      </w:pPr>
    </w:p>
    <w:p>
      <w:pPr>
        <w:pStyle w:val="3"/>
        <w:rPr>
          <w:b/>
          <w:lang w:val="en-US"/>
        </w:rPr>
      </w:pPr>
    </w:p>
    <w:p>
      <w:pPr>
        <w:pStyle w:val="3"/>
        <w:rPr>
          <w:b/>
          <w:lang w:val="en-US"/>
        </w:rPr>
      </w:pPr>
    </w:p>
    <w:p>
      <w:pPr>
        <w:pStyle w:val="3"/>
        <w:rPr>
          <w:b/>
          <w:sz w:val="20"/>
          <w:szCs w:val="20"/>
          <w:lang w:val="en-US"/>
        </w:rPr>
      </w:pPr>
      <w:r>
        <w:rPr>
          <w:b/>
          <w:lang w:val="en-US"/>
        </w:rPr>
        <w:br w:type="textWrapping"/>
      </w:r>
    </w:p>
    <w:p>
      <w:pPr>
        <w:pStyle w:val="3"/>
        <w:rPr>
          <w:sz w:val="20"/>
          <w:szCs w:val="20"/>
          <w:lang w:val="en-US"/>
        </w:rPr>
      </w:pPr>
      <w:r>
        <w:rPr>
          <w:sz w:val="20"/>
          <w:szCs w:val="20"/>
          <w:lang w:val="en-US"/>
        </w:rPr>
        <w:br w:type="textWrapping"/>
      </w: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spacing w:line="360" w:lineRule="auto"/>
        <w:jc w:val="both"/>
        <w:rPr>
          <w:sz w:val="20"/>
          <w:szCs w:val="20"/>
          <w:lang w:val="en-US"/>
        </w:rPr>
      </w:pPr>
    </w:p>
    <w:p>
      <w:pPr>
        <w:pStyle w:val="3"/>
        <w:widowControl w:val="0"/>
        <w:ind w:left="851" w:firstLine="1"/>
        <w:jc w:val="center"/>
        <w:rPr>
          <w:b/>
          <w:smallCaps/>
          <w:color w:val="000000"/>
          <w:sz w:val="36"/>
          <w:szCs w:val="36"/>
        </w:rPr>
      </w:pPr>
      <w:bookmarkStart w:id="12" w:name="_1pxezwc" w:colFirst="0" w:colLast="0"/>
      <w:bookmarkEnd w:id="12"/>
      <w:r>
        <w:rPr>
          <w:b/>
          <w:smallCaps/>
          <w:color w:val="000000"/>
          <w:sz w:val="36"/>
          <w:szCs w:val="36"/>
        </w:rPr>
        <w:t xml:space="preserve">PIECE N°2 </w:t>
      </w: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r>
        <w:rPr>
          <w:b/>
          <w:smallCaps/>
          <w:color w:val="000000"/>
          <w:sz w:val="36"/>
          <w:szCs w:val="36"/>
        </w:rPr>
        <w:t>RÈGLEMENT GÉNÉRAL DE L'APPEL D'OFFRES (RGAO)</w:t>
      </w:r>
    </w:p>
    <w:p>
      <w:pPr>
        <w:pStyle w:val="3"/>
        <w:widowControl w:val="0"/>
        <w:spacing w:line="360" w:lineRule="auto"/>
        <w:jc w:val="both"/>
        <w:rPr>
          <w:sz w:val="20"/>
          <w:szCs w:val="20"/>
        </w:rPr>
      </w:pPr>
    </w:p>
    <w:p>
      <w:pPr>
        <w:pStyle w:val="3"/>
        <w:rPr>
          <w:b/>
          <w:i/>
          <w:smallCaps/>
        </w:rPr>
      </w:pPr>
      <w:r>
        <w:br w:type="textWrapping"/>
      </w: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widowControl w:val="0"/>
        <w:spacing w:line="360" w:lineRule="auto"/>
        <w:jc w:val="center"/>
        <w:rPr>
          <w:b/>
          <w:i/>
          <w:smallCaps/>
        </w:rPr>
      </w:pPr>
      <w:r>
        <w:rPr>
          <w:b/>
          <w:sz w:val="32"/>
          <w:szCs w:val="32"/>
        </w:rPr>
        <w:t>Note relative au Règlement Général de l'Appel d'Offres</w:t>
      </w:r>
    </w:p>
    <w:p>
      <w:pPr>
        <w:pStyle w:val="3"/>
        <w:widowControl w:val="0"/>
        <w:spacing w:after="120" w:line="360" w:lineRule="auto"/>
        <w:jc w:val="both"/>
        <w:rPr>
          <w:b/>
          <w:i/>
          <w:smallCaps/>
        </w:rPr>
      </w:pPr>
      <w:r>
        <w:t xml:space="preserve">La Pièce n° 2 a pour objet de donner aux soumissionnaires, les renseignements, dont ils ont besoin pour préparer des offres conformes aux conditions fixées par la règlementation en vigueur. </w:t>
      </w:r>
    </w:p>
    <w:p>
      <w:pPr>
        <w:pStyle w:val="3"/>
        <w:widowControl w:val="0"/>
        <w:spacing w:after="120" w:line="360" w:lineRule="auto"/>
        <w:jc w:val="both"/>
        <w:rPr>
          <w:b/>
          <w:i/>
          <w:smallCaps/>
        </w:rPr>
      </w:pPr>
      <w:r>
        <w:t>Elle fournit également des renseignements sur la remise des offres, l’ouverture des plis, l’évaluation des offres et l’attribution du marché.</w:t>
      </w:r>
    </w:p>
    <w:p>
      <w:pPr>
        <w:pStyle w:val="3"/>
        <w:widowControl w:val="0"/>
        <w:spacing w:after="120" w:line="360" w:lineRule="auto"/>
        <w:jc w:val="both"/>
        <w:rPr>
          <w:b/>
          <w:i/>
          <w:smallCaps/>
        </w:rPr>
      </w:pPr>
      <w:r>
        <w:t>Cette pièce contient des articles types à ne pas modifier.</w:t>
      </w:r>
    </w:p>
    <w:p>
      <w:pPr>
        <w:pStyle w:val="3"/>
        <w:widowControl w:val="0"/>
        <w:spacing w:line="360" w:lineRule="auto"/>
        <w:jc w:val="both"/>
        <w:rPr>
          <w:b/>
          <w:i/>
          <w:smallCaps/>
        </w:rPr>
      </w:pPr>
    </w:p>
    <w:p>
      <w:pPr>
        <w:pStyle w:val="3"/>
        <w:widowControl w:val="0"/>
        <w:tabs>
          <w:tab w:val="left" w:pos="10460"/>
        </w:tabs>
        <w:spacing w:line="360" w:lineRule="auto"/>
        <w:jc w:val="both"/>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b/>
          <w:i/>
          <w:smallCaps/>
        </w:rPr>
      </w:pPr>
    </w:p>
    <w:p>
      <w:pPr>
        <w:pStyle w:val="3"/>
        <w:rPr>
          <w:b/>
          <w:sz w:val="32"/>
          <w:szCs w:val="32"/>
        </w:rPr>
      </w:pPr>
    </w:p>
    <w:p>
      <w:pPr>
        <w:pStyle w:val="63"/>
        <w:rPr>
          <w:rFonts w:ascii="Arial" w:hAnsi="Arial" w:cs="Arial"/>
          <w:sz w:val="20"/>
          <w:szCs w:val="20"/>
        </w:rPr>
      </w:pPr>
      <w:r>
        <w:rPr>
          <w:rFonts w:ascii="Arial" w:hAnsi="Arial" w:cs="Arial"/>
          <w:sz w:val="20"/>
          <w:szCs w:val="20"/>
        </w:rPr>
        <w:t>Table des matières</w:t>
      </w:r>
    </w:p>
    <w:p>
      <w:pPr>
        <w:widowControl w:val="0"/>
        <w:tabs>
          <w:tab w:val="left" w:pos="10460"/>
        </w:tabs>
        <w:autoSpaceDE w:val="0"/>
        <w:spacing w:line="360" w:lineRule="auto"/>
        <w:jc w:val="both"/>
        <w:rPr>
          <w:rFonts w:ascii="Arial" w:hAnsi="Arial" w:cs="Arial"/>
          <w:sz w:val="20"/>
          <w:szCs w:val="20"/>
        </w:rPr>
      </w:pPr>
    </w:p>
    <w:p>
      <w:pPr>
        <w:pStyle w:val="19"/>
        <w:rPr>
          <w:rFonts w:ascii="Arial" w:hAnsi="Arial" w:cs="Arial" w:eastAsiaTheme="minorEastAsia"/>
          <w:sz w:val="20"/>
          <w:szCs w:val="20"/>
        </w:rPr>
      </w:pPr>
      <w:r>
        <w:rPr>
          <w:rFonts w:ascii="Arial" w:hAnsi="Arial" w:cs="Arial"/>
          <w:sz w:val="20"/>
          <w:szCs w:val="20"/>
        </w:rPr>
        <w:fldChar w:fldCharType="begin"/>
      </w:r>
      <w:r>
        <w:rPr>
          <w:rFonts w:ascii="Arial" w:hAnsi="Arial" w:cs="Arial"/>
          <w:sz w:val="20"/>
          <w:szCs w:val="20"/>
        </w:rPr>
        <w:instrText xml:space="preserve"> TOC \h \z \t "RGAO partie;1;RGAO articles;2" </w:instrText>
      </w:r>
      <w:r>
        <w:rPr>
          <w:rFonts w:ascii="Arial" w:hAnsi="Arial" w:cs="Arial"/>
          <w:sz w:val="20"/>
          <w:szCs w:val="20"/>
        </w:rPr>
        <w:fldChar w:fldCharType="separate"/>
      </w:r>
      <w:r>
        <w:fldChar w:fldCharType="begin"/>
      </w:r>
      <w:r>
        <w:instrText xml:space="preserve"> HYPERLINK \l "_Toc163062692" </w:instrText>
      </w:r>
      <w:r>
        <w:fldChar w:fldCharType="separate"/>
      </w:r>
      <w:r>
        <w:rPr>
          <w:rStyle w:val="21"/>
          <w:rFonts w:ascii="Arial" w:hAnsi="Arial" w:cs="Arial"/>
          <w:sz w:val="20"/>
          <w:szCs w:val="20"/>
        </w:rPr>
        <w:t>A.</w:t>
      </w:r>
      <w:r>
        <w:rPr>
          <w:rFonts w:ascii="Arial" w:hAnsi="Arial" w:cs="Arial" w:eastAsiaTheme="minorEastAsia"/>
          <w:sz w:val="20"/>
          <w:szCs w:val="20"/>
        </w:rPr>
        <w:tab/>
      </w:r>
      <w:r>
        <w:rPr>
          <w:rStyle w:val="21"/>
          <w:rFonts w:ascii="Arial" w:hAnsi="Arial" w:cs="Arial"/>
          <w:sz w:val="20"/>
          <w:szCs w:val="20"/>
        </w:rPr>
        <w:t>Généralités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_Toc163062692 \h </w:instrText>
      </w:r>
      <w:r>
        <w:rPr>
          <w:rFonts w:ascii="Arial" w:hAnsi="Arial" w:cs="Arial"/>
          <w:sz w:val="20"/>
          <w:szCs w:val="20"/>
        </w:rPr>
        <w:fldChar w:fldCharType="separate"/>
      </w:r>
      <w:r>
        <w:rPr>
          <w:rFonts w:ascii="Arial" w:hAnsi="Arial" w:cs="Arial"/>
          <w:sz w:val="20"/>
          <w:szCs w:val="20"/>
        </w:rPr>
        <w:t>28</w:t>
      </w:r>
      <w:r>
        <w:rPr>
          <w:rFonts w:ascii="Arial" w:hAnsi="Arial" w:cs="Arial"/>
          <w:sz w:val="20"/>
          <w:szCs w:val="20"/>
        </w:rPr>
        <w:fldChar w:fldCharType="end"/>
      </w:r>
      <w:r>
        <w:rPr>
          <w:rFonts w:ascii="Arial" w:hAnsi="Arial" w:cs="Arial"/>
          <w:sz w:val="20"/>
          <w:szCs w:val="20"/>
        </w:rPr>
        <w:fldChar w:fldCharType="end"/>
      </w:r>
    </w:p>
    <w:p>
      <w:pPr>
        <w:pStyle w:val="17"/>
        <w:rPr>
          <w:rFonts w:eastAsiaTheme="minorEastAsia"/>
          <w:sz w:val="20"/>
          <w:szCs w:val="20"/>
        </w:rPr>
      </w:pPr>
      <w:r>
        <w:fldChar w:fldCharType="begin"/>
      </w:r>
      <w:r>
        <w:instrText xml:space="preserve"> HYPERLINK \l "_Toc163062693" </w:instrText>
      </w:r>
      <w:r>
        <w:fldChar w:fldCharType="separate"/>
      </w:r>
      <w:r>
        <w:rPr>
          <w:rStyle w:val="21"/>
          <w:sz w:val="20"/>
          <w:szCs w:val="20"/>
        </w:rPr>
        <w:t>Article 1.</w:t>
      </w:r>
      <w:r>
        <w:rPr>
          <w:rFonts w:eastAsiaTheme="minorEastAsia"/>
          <w:sz w:val="20"/>
          <w:szCs w:val="20"/>
        </w:rPr>
        <w:tab/>
      </w:r>
      <w:r>
        <w:rPr>
          <w:rStyle w:val="21"/>
          <w:sz w:val="20"/>
          <w:szCs w:val="20"/>
        </w:rPr>
        <w:t>Objet de la consultation</w:t>
      </w:r>
      <w:r>
        <w:rPr>
          <w:sz w:val="20"/>
          <w:szCs w:val="20"/>
        </w:rPr>
        <w:tab/>
      </w:r>
      <w:r>
        <w:rPr>
          <w:sz w:val="20"/>
          <w:szCs w:val="20"/>
        </w:rPr>
        <w:fldChar w:fldCharType="begin"/>
      </w:r>
      <w:r>
        <w:rPr>
          <w:sz w:val="20"/>
          <w:szCs w:val="20"/>
        </w:rPr>
        <w:instrText xml:space="preserve"> PAGEREF _Toc163062693 \h </w:instrText>
      </w:r>
      <w:r>
        <w:rPr>
          <w:sz w:val="20"/>
          <w:szCs w:val="20"/>
        </w:rPr>
        <w:fldChar w:fldCharType="separate"/>
      </w:r>
      <w:r>
        <w:rPr>
          <w:sz w:val="20"/>
          <w:szCs w:val="20"/>
        </w:rPr>
        <w:t>28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"_Toc163062694" </w:instrText>
      </w:r>
      <w:r>
        <w:fldChar w:fldCharType="separate"/>
      </w:r>
      <w:r>
        <w:rPr>
          <w:rStyle w:val="21"/>
          <w:sz w:val="20"/>
          <w:szCs w:val="20"/>
        </w:rPr>
        <w:t>Article 2.</w:t>
      </w:r>
      <w:r>
        <w:rPr>
          <w:rFonts w:eastAsiaTheme="minorEastAsia"/>
          <w:sz w:val="20"/>
          <w:szCs w:val="20"/>
        </w:rPr>
        <w:tab/>
      </w:r>
      <w:r>
        <w:rPr>
          <w:rStyle w:val="21"/>
          <w:sz w:val="20"/>
          <w:szCs w:val="20"/>
        </w:rPr>
        <w:t>Financement</w:t>
      </w:r>
      <w:r>
        <w:rPr>
          <w:sz w:val="20"/>
          <w:szCs w:val="20"/>
        </w:rPr>
        <w:tab/>
      </w:r>
      <w:r>
        <w:rPr>
          <w:sz w:val="20"/>
          <w:szCs w:val="20"/>
        </w:rPr>
        <w:fldChar w:fldCharType="begin"/>
      </w:r>
      <w:r>
        <w:rPr>
          <w:sz w:val="20"/>
          <w:szCs w:val="20"/>
        </w:rPr>
        <w:instrText xml:space="preserve"> PAGEREF _Toc163062694 \h </w:instrText>
      </w:r>
      <w:r>
        <w:rPr>
          <w:sz w:val="20"/>
          <w:szCs w:val="20"/>
        </w:rPr>
        <w:fldChar w:fldCharType="separate"/>
      </w:r>
      <w:r>
        <w:rPr>
          <w:sz w:val="20"/>
          <w:szCs w:val="20"/>
        </w:rPr>
        <w:t>28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"_Toc163062695" </w:instrText>
      </w:r>
      <w:r>
        <w:fldChar w:fldCharType="separate"/>
      </w:r>
      <w:r>
        <w:rPr>
          <w:rStyle w:val="21"/>
          <w:sz w:val="20"/>
          <w:szCs w:val="20"/>
        </w:rPr>
        <w:t>Article 3.</w:t>
      </w:r>
      <w:r>
        <w:rPr>
          <w:rFonts w:eastAsiaTheme="minorEastAsia"/>
          <w:sz w:val="20"/>
          <w:szCs w:val="20"/>
        </w:rPr>
        <w:tab/>
      </w:r>
      <w:r>
        <w:rPr>
          <w:rStyle w:val="21"/>
          <w:sz w:val="20"/>
          <w:szCs w:val="20"/>
        </w:rPr>
        <w:t>Principes éthiques</w:t>
      </w:r>
      <w:r>
        <w:rPr>
          <w:sz w:val="20"/>
          <w:szCs w:val="20"/>
        </w:rPr>
        <w:tab/>
      </w:r>
      <w:r>
        <w:rPr>
          <w:sz w:val="20"/>
          <w:szCs w:val="20"/>
        </w:rPr>
        <w:fldChar w:fldCharType="begin"/>
      </w:r>
      <w:r>
        <w:rPr>
          <w:sz w:val="20"/>
          <w:szCs w:val="20"/>
        </w:rPr>
        <w:instrText xml:space="preserve"> PAGEREF _Toc163062695 \h </w:instrText>
      </w:r>
      <w:r>
        <w:rPr>
          <w:sz w:val="20"/>
          <w:szCs w:val="20"/>
        </w:rPr>
        <w:fldChar w:fldCharType="separate"/>
      </w:r>
      <w:r>
        <w:rPr>
          <w:sz w:val="20"/>
          <w:szCs w:val="20"/>
        </w:rPr>
        <w:t>28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"_Toc163062696" </w:instrText>
      </w:r>
      <w:r>
        <w:fldChar w:fldCharType="separate"/>
      </w:r>
      <w:r>
        <w:rPr>
          <w:rStyle w:val="21"/>
          <w:sz w:val="20"/>
          <w:szCs w:val="20"/>
        </w:rPr>
        <w:t>Article 4.</w:t>
      </w:r>
      <w:r>
        <w:rPr>
          <w:rFonts w:eastAsiaTheme="minorEastAsia"/>
          <w:sz w:val="20"/>
          <w:szCs w:val="20"/>
        </w:rPr>
        <w:tab/>
      </w:r>
      <w:r>
        <w:rPr>
          <w:rStyle w:val="21"/>
          <w:sz w:val="20"/>
          <w:szCs w:val="20"/>
        </w:rPr>
        <w:t>Candidats admis à concourir</w:t>
      </w:r>
      <w:r>
        <w:rPr>
          <w:sz w:val="20"/>
          <w:szCs w:val="20"/>
        </w:rPr>
        <w:tab/>
      </w:r>
      <w:r>
        <w:rPr>
          <w:sz w:val="20"/>
          <w:szCs w:val="20"/>
        </w:rPr>
        <w:fldChar w:fldCharType="begin"/>
      </w:r>
      <w:r>
        <w:rPr>
          <w:sz w:val="20"/>
          <w:szCs w:val="20"/>
        </w:rPr>
        <w:instrText xml:space="preserve"> PAGEREF _Toc163062696 \h </w:instrText>
      </w:r>
      <w:r>
        <w:rPr>
          <w:sz w:val="20"/>
          <w:szCs w:val="20"/>
        </w:rPr>
        <w:fldChar w:fldCharType="separate"/>
      </w:r>
      <w:r>
        <w:rPr>
          <w:sz w:val="20"/>
          <w:szCs w:val="20"/>
        </w:rPr>
        <w:t>30</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"_Toc163062697" </w:instrText>
      </w:r>
      <w:r>
        <w:fldChar w:fldCharType="separate"/>
      </w:r>
      <w:r>
        <w:rPr>
          <w:rStyle w:val="21"/>
          <w:sz w:val="20"/>
          <w:szCs w:val="20"/>
        </w:rPr>
        <w:t>Article 5.</w:t>
      </w:r>
      <w:r>
        <w:rPr>
          <w:rFonts w:eastAsiaTheme="minorEastAsia"/>
          <w:sz w:val="20"/>
          <w:szCs w:val="20"/>
        </w:rPr>
        <w:tab/>
      </w:r>
      <w:r>
        <w:rPr>
          <w:rStyle w:val="21"/>
          <w:sz w:val="20"/>
          <w:szCs w:val="20"/>
        </w:rPr>
        <w:t>Matériaux, matériels, fournitures, équipements et services autorisés</w:t>
      </w:r>
      <w:r>
        <w:rPr>
          <w:sz w:val="20"/>
          <w:szCs w:val="20"/>
        </w:rPr>
        <w:tab/>
      </w:r>
      <w:r>
        <w:rPr>
          <w:sz w:val="20"/>
          <w:szCs w:val="20"/>
        </w:rPr>
        <w:fldChar w:fldCharType="begin"/>
      </w:r>
      <w:r>
        <w:rPr>
          <w:sz w:val="20"/>
          <w:szCs w:val="20"/>
        </w:rPr>
        <w:instrText xml:space="preserve"> PAGEREF _Toc163062697 \h </w:instrText>
      </w:r>
      <w:r>
        <w:rPr>
          <w:sz w:val="20"/>
          <w:szCs w:val="20"/>
        </w:rPr>
        <w:fldChar w:fldCharType="separate"/>
      </w:r>
      <w:r>
        <w:rPr>
          <w:sz w:val="20"/>
          <w:szCs w:val="20"/>
        </w:rPr>
        <w:t>31</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"_Toc163062698" </w:instrText>
      </w:r>
      <w:r>
        <w:fldChar w:fldCharType="separate"/>
      </w:r>
      <w:r>
        <w:rPr>
          <w:rStyle w:val="21"/>
          <w:sz w:val="20"/>
          <w:szCs w:val="20"/>
        </w:rPr>
        <w:t>Article 6.</w:t>
      </w:r>
      <w:r>
        <w:rPr>
          <w:rFonts w:eastAsiaTheme="minorEastAsia"/>
          <w:sz w:val="20"/>
          <w:szCs w:val="20"/>
        </w:rPr>
        <w:tab/>
      </w:r>
      <w:r>
        <w:rPr>
          <w:rStyle w:val="21"/>
          <w:sz w:val="20"/>
          <w:szCs w:val="20"/>
        </w:rPr>
        <w:t>Documents établissant la qualification du Soumissionnaire</w:t>
      </w:r>
      <w:r>
        <w:rPr>
          <w:sz w:val="20"/>
          <w:szCs w:val="20"/>
        </w:rPr>
        <w:tab/>
      </w:r>
      <w:r>
        <w:rPr>
          <w:sz w:val="20"/>
          <w:szCs w:val="20"/>
        </w:rPr>
        <w:fldChar w:fldCharType="begin"/>
      </w:r>
      <w:r>
        <w:rPr>
          <w:sz w:val="20"/>
          <w:szCs w:val="20"/>
        </w:rPr>
        <w:instrText xml:space="preserve"> PAGEREF _Toc163062698 \h </w:instrText>
      </w:r>
      <w:r>
        <w:rPr>
          <w:sz w:val="20"/>
          <w:szCs w:val="20"/>
        </w:rPr>
        <w:fldChar w:fldCharType="separate"/>
      </w:r>
      <w:r>
        <w:rPr>
          <w:sz w:val="20"/>
          <w:szCs w:val="20"/>
        </w:rPr>
        <w:t>31</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"_Toc163062699" </w:instrText>
      </w:r>
      <w:r>
        <w:fldChar w:fldCharType="separate"/>
      </w:r>
      <w:r>
        <w:rPr>
          <w:rStyle w:val="21"/>
          <w:sz w:val="20"/>
          <w:szCs w:val="20"/>
        </w:rPr>
        <w:t>Article 7.</w:t>
      </w:r>
      <w:r>
        <w:rPr>
          <w:rFonts w:eastAsiaTheme="minorEastAsia"/>
          <w:sz w:val="20"/>
          <w:szCs w:val="20"/>
        </w:rPr>
        <w:tab/>
      </w:r>
      <w:r>
        <w:rPr>
          <w:rStyle w:val="21"/>
          <w:sz w:val="20"/>
          <w:szCs w:val="20"/>
        </w:rPr>
        <w:t>Visite du site des travaux</w:t>
      </w:r>
      <w:r>
        <w:rPr>
          <w:sz w:val="20"/>
          <w:szCs w:val="20"/>
        </w:rPr>
        <w:tab/>
      </w:r>
      <w:r>
        <w:rPr>
          <w:sz w:val="20"/>
          <w:szCs w:val="20"/>
        </w:rPr>
        <w:fldChar w:fldCharType="begin"/>
      </w:r>
      <w:r>
        <w:rPr>
          <w:sz w:val="20"/>
          <w:szCs w:val="20"/>
        </w:rPr>
        <w:instrText xml:space="preserve"> PAGEREF _Toc163062699 \h </w:instrText>
      </w:r>
      <w:r>
        <w:rPr>
          <w:sz w:val="20"/>
          <w:szCs w:val="20"/>
        </w:rPr>
        <w:fldChar w:fldCharType="separate"/>
      </w:r>
      <w:r>
        <w:rPr>
          <w:sz w:val="20"/>
          <w:szCs w:val="20"/>
        </w:rPr>
        <w:t>32</w:t>
      </w:r>
      <w:r>
        <w:rPr>
          <w:sz w:val="20"/>
          <w:szCs w:val="20"/>
        </w:rPr>
        <w:fldChar w:fldCharType="end"/>
      </w:r>
      <w:r>
        <w:rPr>
          <w:sz w:val="20"/>
          <w:szCs w:val="20"/>
        </w:rPr>
        <w:fldChar w:fldCharType="end"/>
      </w:r>
    </w:p>
    <w:p>
      <w:pPr>
        <w:pStyle w:val="19"/>
        <w:rPr>
          <w:rFonts w:ascii="Arial" w:hAnsi="Arial" w:cs="Arial" w:eastAsiaTheme="minorEastAsia"/>
          <w:sz w:val="20"/>
          <w:szCs w:val="20"/>
        </w:rPr>
      </w:pPr>
      <w:r>
        <w:fldChar w:fldCharType="begin"/>
      </w:r>
      <w:r>
        <w:instrText xml:space="preserve"> HYPERLINK \l "_Toc163062700" </w:instrText>
      </w:r>
      <w:r>
        <w:fldChar w:fldCharType="separate"/>
      </w:r>
      <w:r>
        <w:rPr>
          <w:rStyle w:val="21"/>
          <w:rFonts w:ascii="Arial" w:hAnsi="Arial" w:cs="Arial"/>
          <w:sz w:val="20"/>
          <w:szCs w:val="20"/>
        </w:rPr>
        <w:t>B.</w:t>
      </w:r>
      <w:r>
        <w:rPr>
          <w:rFonts w:ascii="Arial" w:hAnsi="Arial" w:cs="Arial" w:eastAsiaTheme="minorEastAsia"/>
          <w:sz w:val="20"/>
          <w:szCs w:val="20"/>
        </w:rPr>
        <w:tab/>
      </w:r>
      <w:r>
        <w:rPr>
          <w:rStyle w:val="21"/>
          <w:rFonts w:ascii="Arial" w:hAnsi="Arial" w:cs="Arial"/>
          <w:sz w:val="20"/>
          <w:szCs w:val="20"/>
        </w:rPr>
        <w:t>Dossier d’Appel d’Offres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_Toc163062700 \h </w:instrText>
      </w:r>
      <w:r>
        <w:rPr>
          <w:rFonts w:ascii="Arial" w:hAnsi="Arial" w:cs="Arial"/>
          <w:sz w:val="20"/>
          <w:szCs w:val="20"/>
        </w:rPr>
        <w:fldChar w:fldCharType="separate"/>
      </w:r>
      <w:r>
        <w:rPr>
          <w:rFonts w:ascii="Arial" w:hAnsi="Arial" w:cs="Arial"/>
          <w:sz w:val="20"/>
          <w:szCs w:val="20"/>
        </w:rPr>
        <w:t>33</w:t>
      </w:r>
      <w:r>
        <w:rPr>
          <w:rFonts w:ascii="Arial" w:hAnsi="Arial" w:cs="Arial"/>
          <w:sz w:val="20"/>
          <w:szCs w:val="20"/>
        </w:rPr>
        <w:fldChar w:fldCharType="end"/>
      </w:r>
      <w:r>
        <w:rPr>
          <w:rFonts w:ascii="Arial" w:hAnsi="Arial" w:cs="Arial"/>
          <w:sz w:val="20"/>
          <w:szCs w:val="20"/>
        </w:rPr>
        <w:fldChar w:fldCharType="end"/>
      </w:r>
    </w:p>
    <w:p>
      <w:pPr>
        <w:pStyle w:val="17"/>
        <w:rPr>
          <w:rFonts w:eastAsiaTheme="minorEastAsia"/>
          <w:sz w:val="20"/>
          <w:szCs w:val="20"/>
        </w:rPr>
      </w:pPr>
      <w:r>
        <w:fldChar w:fldCharType="begin"/>
      </w:r>
      <w:r>
        <w:instrText xml:space="preserve"> HYPERLINK \l "_Toc163062701" </w:instrText>
      </w:r>
      <w:r>
        <w:fldChar w:fldCharType="separate"/>
      </w:r>
      <w:r>
        <w:rPr>
          <w:rStyle w:val="21"/>
          <w:sz w:val="20"/>
          <w:szCs w:val="20"/>
        </w:rPr>
        <w:t>Article 8.</w:t>
      </w:r>
      <w:r>
        <w:rPr>
          <w:rFonts w:eastAsiaTheme="minorEastAsia"/>
          <w:sz w:val="20"/>
          <w:szCs w:val="20"/>
        </w:rPr>
        <w:tab/>
      </w:r>
      <w:r>
        <w:rPr>
          <w:rStyle w:val="21"/>
          <w:sz w:val="20"/>
          <w:szCs w:val="20"/>
        </w:rPr>
        <w:t>Contenu du Dossier d’Appel d’Offres</w:t>
      </w:r>
      <w:r>
        <w:rPr>
          <w:sz w:val="20"/>
          <w:szCs w:val="20"/>
        </w:rPr>
        <w:tab/>
      </w:r>
      <w:r>
        <w:rPr>
          <w:sz w:val="20"/>
          <w:szCs w:val="20"/>
        </w:rPr>
        <w:fldChar w:fldCharType="begin"/>
      </w:r>
      <w:r>
        <w:rPr>
          <w:sz w:val="20"/>
          <w:szCs w:val="20"/>
        </w:rPr>
        <w:instrText xml:space="preserve"> PAGEREF _Toc163062701 \h </w:instrText>
      </w:r>
      <w:r>
        <w:rPr>
          <w:sz w:val="20"/>
          <w:szCs w:val="20"/>
        </w:rPr>
        <w:fldChar w:fldCharType="separate"/>
      </w:r>
      <w:r>
        <w:rPr>
          <w:sz w:val="20"/>
          <w:szCs w:val="20"/>
        </w:rPr>
        <w:t>33</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"_Toc163062702" </w:instrText>
      </w:r>
      <w:r>
        <w:fldChar w:fldCharType="separate"/>
      </w:r>
      <w:r>
        <w:rPr>
          <w:rStyle w:val="21"/>
          <w:sz w:val="20"/>
          <w:szCs w:val="20"/>
        </w:rPr>
        <w:t>Article 9.</w:t>
      </w:r>
      <w:r>
        <w:rPr>
          <w:rFonts w:eastAsiaTheme="minorEastAsia"/>
          <w:sz w:val="20"/>
          <w:szCs w:val="20"/>
        </w:rPr>
        <w:tab/>
      </w:r>
      <w:r>
        <w:rPr>
          <w:rStyle w:val="21"/>
          <w:sz w:val="20"/>
          <w:szCs w:val="20"/>
        </w:rPr>
        <w:t>Eclaircissements apportés au Dossier d’Appel d’Offres et Recours</w:t>
      </w:r>
      <w:r>
        <w:rPr>
          <w:sz w:val="20"/>
          <w:szCs w:val="20"/>
        </w:rPr>
        <w:tab/>
      </w:r>
      <w:r>
        <w:rPr>
          <w:sz w:val="20"/>
          <w:szCs w:val="20"/>
        </w:rPr>
        <w:fldChar w:fldCharType="begin"/>
      </w:r>
      <w:r>
        <w:rPr>
          <w:sz w:val="20"/>
          <w:szCs w:val="20"/>
        </w:rPr>
        <w:instrText xml:space="preserve"> PAGEREF _Toc163062702 \h </w:instrText>
      </w:r>
      <w:r>
        <w:rPr>
          <w:sz w:val="20"/>
          <w:szCs w:val="20"/>
        </w:rPr>
        <w:fldChar w:fldCharType="separate"/>
      </w:r>
      <w:r>
        <w:rPr>
          <w:sz w:val="20"/>
          <w:szCs w:val="20"/>
        </w:rPr>
        <w:t>34</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"_Toc163062703" </w:instrText>
      </w:r>
      <w:r>
        <w:fldChar w:fldCharType="separate"/>
      </w:r>
      <w:r>
        <w:rPr>
          <w:rStyle w:val="21"/>
          <w:sz w:val="20"/>
          <w:szCs w:val="20"/>
        </w:rPr>
        <w:t>Article 10.</w:t>
      </w:r>
      <w:r>
        <w:rPr>
          <w:rFonts w:eastAsiaTheme="minorEastAsia"/>
          <w:sz w:val="20"/>
          <w:szCs w:val="20"/>
        </w:rPr>
        <w:tab/>
      </w:r>
      <w:r>
        <w:rPr>
          <w:rStyle w:val="21"/>
          <w:sz w:val="20"/>
          <w:szCs w:val="20"/>
        </w:rPr>
        <w:t>Modification du Dossier d’Appel d’Offres</w:t>
      </w:r>
      <w:r>
        <w:rPr>
          <w:sz w:val="20"/>
          <w:szCs w:val="20"/>
        </w:rPr>
        <w:tab/>
      </w:r>
      <w:r>
        <w:rPr>
          <w:sz w:val="20"/>
          <w:szCs w:val="20"/>
        </w:rPr>
        <w:fldChar w:fldCharType="begin"/>
      </w:r>
      <w:r>
        <w:rPr>
          <w:sz w:val="20"/>
          <w:szCs w:val="20"/>
        </w:rPr>
        <w:instrText xml:space="preserve"> PAGEREF _Toc163062703 \h </w:instrText>
      </w:r>
      <w:r>
        <w:rPr>
          <w:sz w:val="20"/>
          <w:szCs w:val="20"/>
        </w:rPr>
        <w:fldChar w:fldCharType="separate"/>
      </w:r>
      <w:r>
        <w:rPr>
          <w:sz w:val="20"/>
          <w:szCs w:val="20"/>
        </w:rPr>
        <w:t>35</w:t>
      </w:r>
      <w:r>
        <w:rPr>
          <w:sz w:val="20"/>
          <w:szCs w:val="20"/>
        </w:rPr>
        <w:fldChar w:fldCharType="end"/>
      </w:r>
      <w:r>
        <w:rPr>
          <w:sz w:val="20"/>
          <w:szCs w:val="20"/>
        </w:rPr>
        <w:fldChar w:fldCharType="end"/>
      </w:r>
    </w:p>
    <w:p>
      <w:pPr>
        <w:pStyle w:val="19"/>
        <w:rPr>
          <w:rFonts w:ascii="Arial" w:hAnsi="Arial" w:cs="Arial" w:eastAsiaTheme="minorEastAsia"/>
          <w:sz w:val="20"/>
          <w:szCs w:val="20"/>
        </w:rPr>
      </w:pPr>
      <w:r>
        <w:fldChar w:fldCharType="begin"/>
      </w:r>
      <w:r>
        <w:instrText xml:space="preserve"> HYPERLINK \l "_Toc163062704" </w:instrText>
      </w:r>
      <w:r>
        <w:fldChar w:fldCharType="separate"/>
      </w:r>
      <w:r>
        <w:rPr>
          <w:rStyle w:val="21"/>
          <w:rFonts w:ascii="Arial" w:hAnsi="Arial" w:cs="Arial"/>
          <w:sz w:val="20"/>
          <w:szCs w:val="20"/>
        </w:rPr>
        <w:t>C.</w:t>
      </w:r>
      <w:r>
        <w:rPr>
          <w:rFonts w:ascii="Arial" w:hAnsi="Arial" w:cs="Arial" w:eastAsiaTheme="minorEastAsia"/>
          <w:sz w:val="20"/>
          <w:szCs w:val="20"/>
        </w:rPr>
        <w:tab/>
      </w:r>
      <w:r>
        <w:rPr>
          <w:rStyle w:val="21"/>
          <w:rFonts w:ascii="Arial" w:hAnsi="Arial" w:cs="Arial"/>
          <w:sz w:val="20"/>
          <w:szCs w:val="20"/>
        </w:rPr>
        <w:t>Préparation des offres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_Toc163062704 \h </w:instrText>
      </w:r>
      <w:r>
        <w:rPr>
          <w:rFonts w:ascii="Arial" w:hAnsi="Arial" w:cs="Arial"/>
          <w:sz w:val="20"/>
          <w:szCs w:val="20"/>
        </w:rPr>
        <w:fldChar w:fldCharType="separate"/>
      </w:r>
      <w:r>
        <w:rPr>
          <w:rFonts w:ascii="Arial" w:hAnsi="Arial" w:cs="Arial"/>
          <w:sz w:val="20"/>
          <w:szCs w:val="20"/>
        </w:rPr>
        <w:t>36</w:t>
      </w:r>
      <w:r>
        <w:rPr>
          <w:rFonts w:ascii="Arial" w:hAnsi="Arial" w:cs="Arial"/>
          <w:sz w:val="20"/>
          <w:szCs w:val="20"/>
        </w:rPr>
        <w:fldChar w:fldCharType="end"/>
      </w:r>
      <w:r>
        <w:rPr>
          <w:rFonts w:ascii="Arial" w:hAnsi="Arial" w:cs="Arial"/>
          <w:sz w:val="20"/>
          <w:szCs w:val="20"/>
        </w:rPr>
        <w:fldChar w:fldCharType="end"/>
      </w:r>
    </w:p>
    <w:p>
      <w:pPr>
        <w:pStyle w:val="17"/>
        <w:rPr>
          <w:rFonts w:eastAsiaTheme="minorEastAsia"/>
          <w:sz w:val="20"/>
          <w:szCs w:val="20"/>
        </w:rPr>
      </w:pPr>
      <w:r>
        <w:fldChar w:fldCharType="begin"/>
      </w:r>
      <w:r>
        <w:instrText xml:space="preserve"> HYPERLINK \l "_Toc163062705" </w:instrText>
      </w:r>
      <w:r>
        <w:fldChar w:fldCharType="separate"/>
      </w:r>
      <w:r>
        <w:rPr>
          <w:rStyle w:val="21"/>
          <w:sz w:val="20"/>
          <w:szCs w:val="20"/>
        </w:rPr>
        <w:t>Article 11.</w:t>
      </w:r>
      <w:r>
        <w:rPr>
          <w:rFonts w:eastAsiaTheme="minorEastAsia"/>
          <w:sz w:val="20"/>
          <w:szCs w:val="20"/>
        </w:rPr>
        <w:tab/>
      </w:r>
      <w:r>
        <w:rPr>
          <w:rStyle w:val="21"/>
          <w:sz w:val="20"/>
          <w:szCs w:val="20"/>
        </w:rPr>
        <w:t>Frais de soumission</w:t>
      </w:r>
      <w:r>
        <w:rPr>
          <w:sz w:val="20"/>
          <w:szCs w:val="20"/>
        </w:rPr>
        <w:tab/>
      </w:r>
      <w:r>
        <w:rPr>
          <w:sz w:val="20"/>
          <w:szCs w:val="20"/>
        </w:rPr>
        <w:fldChar w:fldCharType="begin"/>
      </w:r>
      <w:r>
        <w:rPr>
          <w:sz w:val="20"/>
          <w:szCs w:val="20"/>
        </w:rPr>
        <w:instrText xml:space="preserve"> PAGEREF _Toc163062705 \h </w:instrText>
      </w:r>
      <w:r>
        <w:rPr>
          <w:sz w:val="20"/>
          <w:szCs w:val="20"/>
        </w:rPr>
        <w:fldChar w:fldCharType="separate"/>
      </w:r>
      <w:r>
        <w:rPr>
          <w:sz w:val="20"/>
          <w:szCs w:val="20"/>
        </w:rPr>
        <w:t>36</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"_Toc163062706" </w:instrText>
      </w:r>
      <w:r>
        <w:fldChar w:fldCharType="separate"/>
      </w:r>
      <w:r>
        <w:rPr>
          <w:rStyle w:val="21"/>
          <w:sz w:val="20"/>
          <w:szCs w:val="20"/>
        </w:rPr>
        <w:t>Article 12.</w:t>
      </w:r>
      <w:r>
        <w:rPr>
          <w:rFonts w:eastAsiaTheme="minorEastAsia"/>
          <w:sz w:val="20"/>
          <w:szCs w:val="20"/>
        </w:rPr>
        <w:tab/>
      </w:r>
      <w:r>
        <w:rPr>
          <w:rStyle w:val="21"/>
          <w:sz w:val="20"/>
          <w:szCs w:val="20"/>
        </w:rPr>
        <w:t>Langue de l’offre</w:t>
      </w:r>
      <w:r>
        <w:rPr>
          <w:sz w:val="20"/>
          <w:szCs w:val="20"/>
        </w:rPr>
        <w:tab/>
      </w:r>
      <w:r>
        <w:rPr>
          <w:sz w:val="20"/>
          <w:szCs w:val="20"/>
        </w:rPr>
        <w:fldChar w:fldCharType="begin"/>
      </w:r>
      <w:r>
        <w:rPr>
          <w:sz w:val="20"/>
          <w:szCs w:val="20"/>
        </w:rPr>
        <w:instrText xml:space="preserve"> PAGEREF _Toc163062706 \h </w:instrText>
      </w:r>
      <w:r>
        <w:rPr>
          <w:sz w:val="20"/>
          <w:szCs w:val="20"/>
        </w:rPr>
        <w:fldChar w:fldCharType="separate"/>
      </w:r>
      <w:r>
        <w:rPr>
          <w:sz w:val="20"/>
          <w:szCs w:val="20"/>
        </w:rPr>
        <w:t>36</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"_Toc163062707" </w:instrText>
      </w:r>
      <w:r>
        <w:fldChar w:fldCharType="separate"/>
      </w:r>
      <w:r>
        <w:rPr>
          <w:rStyle w:val="21"/>
          <w:sz w:val="20"/>
          <w:szCs w:val="20"/>
        </w:rPr>
        <w:t>Article 13.</w:t>
      </w:r>
      <w:r>
        <w:rPr>
          <w:rFonts w:eastAsiaTheme="minorEastAsia"/>
          <w:sz w:val="20"/>
          <w:szCs w:val="20"/>
        </w:rPr>
        <w:tab/>
      </w:r>
      <w:r>
        <w:rPr>
          <w:rStyle w:val="21"/>
          <w:sz w:val="20"/>
          <w:szCs w:val="20"/>
        </w:rPr>
        <w:t>Documents constituant l’offre</w:t>
      </w:r>
      <w:r>
        <w:rPr>
          <w:sz w:val="20"/>
          <w:szCs w:val="20"/>
        </w:rPr>
        <w:tab/>
      </w:r>
      <w:r>
        <w:rPr>
          <w:sz w:val="20"/>
          <w:szCs w:val="20"/>
        </w:rPr>
        <w:fldChar w:fldCharType="begin"/>
      </w:r>
      <w:r>
        <w:rPr>
          <w:sz w:val="20"/>
          <w:szCs w:val="20"/>
        </w:rPr>
        <w:instrText xml:space="preserve"> PAGEREF _Toc163062707 \h </w:instrText>
      </w:r>
      <w:r>
        <w:rPr>
          <w:sz w:val="20"/>
          <w:szCs w:val="20"/>
        </w:rPr>
        <w:fldChar w:fldCharType="separate"/>
      </w:r>
      <w:r>
        <w:rPr>
          <w:sz w:val="20"/>
          <w:szCs w:val="20"/>
        </w:rPr>
        <w:t>36</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"_Toc163062708" </w:instrText>
      </w:r>
      <w:r>
        <w:fldChar w:fldCharType="separate"/>
      </w:r>
      <w:r>
        <w:rPr>
          <w:rStyle w:val="21"/>
          <w:sz w:val="20"/>
          <w:szCs w:val="20"/>
        </w:rPr>
        <w:t>Article 14.</w:t>
      </w:r>
      <w:r>
        <w:rPr>
          <w:rFonts w:eastAsiaTheme="minorEastAsia"/>
          <w:sz w:val="20"/>
          <w:szCs w:val="20"/>
        </w:rPr>
        <w:tab/>
      </w:r>
      <w:r>
        <w:rPr>
          <w:rStyle w:val="21"/>
          <w:sz w:val="20"/>
          <w:szCs w:val="20"/>
        </w:rPr>
        <w:t>Montant de l’offre</w:t>
      </w:r>
      <w:r>
        <w:rPr>
          <w:sz w:val="20"/>
          <w:szCs w:val="20"/>
        </w:rPr>
        <w:tab/>
      </w:r>
      <w:r>
        <w:rPr>
          <w:sz w:val="20"/>
          <w:szCs w:val="20"/>
        </w:rPr>
        <w:fldChar w:fldCharType="begin"/>
      </w:r>
      <w:r>
        <w:rPr>
          <w:sz w:val="20"/>
          <w:szCs w:val="20"/>
        </w:rPr>
        <w:instrText xml:space="preserve"> PAGEREF _Toc163062708 \h </w:instrText>
      </w:r>
      <w:r>
        <w:rPr>
          <w:sz w:val="20"/>
          <w:szCs w:val="20"/>
        </w:rPr>
        <w:fldChar w:fldCharType="separate"/>
      </w:r>
      <w:r>
        <w:rPr>
          <w:sz w:val="20"/>
          <w:szCs w:val="20"/>
        </w:rPr>
        <w:t>38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"_Toc163062709" </w:instrText>
      </w:r>
      <w:r>
        <w:fldChar w:fldCharType="separate"/>
      </w:r>
      <w:r>
        <w:rPr>
          <w:rStyle w:val="21"/>
          <w:sz w:val="20"/>
          <w:szCs w:val="20"/>
        </w:rPr>
        <w:t>Article 15.</w:t>
      </w:r>
      <w:r>
        <w:rPr>
          <w:rFonts w:eastAsiaTheme="minorEastAsia"/>
          <w:sz w:val="20"/>
          <w:szCs w:val="20"/>
        </w:rPr>
        <w:tab/>
      </w:r>
      <w:r>
        <w:rPr>
          <w:rStyle w:val="21"/>
          <w:sz w:val="20"/>
          <w:szCs w:val="20"/>
        </w:rPr>
        <w:t>Monnaies de soumission et de règlement</w:t>
      </w:r>
      <w:r>
        <w:rPr>
          <w:sz w:val="20"/>
          <w:szCs w:val="20"/>
        </w:rPr>
        <w:tab/>
      </w:r>
      <w:r>
        <w:rPr>
          <w:sz w:val="20"/>
          <w:szCs w:val="20"/>
        </w:rPr>
        <w:fldChar w:fldCharType="begin"/>
      </w:r>
      <w:r>
        <w:rPr>
          <w:sz w:val="20"/>
          <w:szCs w:val="20"/>
        </w:rPr>
        <w:instrText xml:space="preserve"> PAGEREF _Toc163062709 \h </w:instrText>
      </w:r>
      <w:r>
        <w:rPr>
          <w:sz w:val="20"/>
          <w:szCs w:val="20"/>
        </w:rPr>
        <w:fldChar w:fldCharType="separate"/>
      </w:r>
      <w:r>
        <w:rPr>
          <w:sz w:val="20"/>
          <w:szCs w:val="20"/>
        </w:rPr>
        <w:t>38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"_Toc163062710" </w:instrText>
      </w:r>
      <w:r>
        <w:fldChar w:fldCharType="separate"/>
      </w:r>
      <w:r>
        <w:rPr>
          <w:rStyle w:val="21"/>
          <w:sz w:val="20"/>
          <w:szCs w:val="20"/>
        </w:rPr>
        <w:t>Article 16.</w:t>
      </w:r>
      <w:r>
        <w:rPr>
          <w:rFonts w:eastAsiaTheme="minorEastAsia"/>
          <w:sz w:val="20"/>
          <w:szCs w:val="20"/>
        </w:rPr>
        <w:tab/>
      </w:r>
      <w:r>
        <w:rPr>
          <w:rStyle w:val="21"/>
          <w:sz w:val="20"/>
          <w:szCs w:val="20"/>
        </w:rPr>
        <w:t>Validité des offres</w:t>
      </w:r>
      <w:r>
        <w:rPr>
          <w:sz w:val="20"/>
          <w:szCs w:val="20"/>
        </w:rPr>
        <w:tab/>
      </w:r>
      <w:r>
        <w:rPr>
          <w:sz w:val="20"/>
          <w:szCs w:val="20"/>
        </w:rPr>
        <w:fldChar w:fldCharType="begin"/>
      </w:r>
      <w:r>
        <w:rPr>
          <w:sz w:val="20"/>
          <w:szCs w:val="20"/>
        </w:rPr>
        <w:instrText xml:space="preserve"> PAGEREF _Toc163062710 \h </w:instrText>
      </w:r>
      <w:r>
        <w:rPr>
          <w:sz w:val="20"/>
          <w:szCs w:val="20"/>
        </w:rPr>
        <w:fldChar w:fldCharType="separate"/>
      </w:r>
      <w:r>
        <w:rPr>
          <w:sz w:val="20"/>
          <w:szCs w:val="20"/>
        </w:rPr>
        <w:t>39</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"_Toc163062711" </w:instrText>
      </w:r>
      <w:r>
        <w:fldChar w:fldCharType="separate"/>
      </w:r>
      <w:r>
        <w:rPr>
          <w:rStyle w:val="21"/>
          <w:sz w:val="20"/>
          <w:szCs w:val="20"/>
        </w:rPr>
        <w:t>Article 17.</w:t>
      </w:r>
      <w:r>
        <w:rPr>
          <w:rFonts w:eastAsiaTheme="minorEastAsia"/>
          <w:sz w:val="20"/>
          <w:szCs w:val="20"/>
        </w:rPr>
        <w:tab/>
      </w:r>
      <w:r>
        <w:rPr>
          <w:rStyle w:val="21"/>
          <w:sz w:val="20"/>
          <w:szCs w:val="20"/>
        </w:rPr>
        <w:t>Cautionnement de soumission</w:t>
      </w:r>
      <w:r>
        <w:rPr>
          <w:sz w:val="20"/>
          <w:szCs w:val="20"/>
        </w:rPr>
        <w:tab/>
      </w:r>
      <w:r>
        <w:rPr>
          <w:sz w:val="20"/>
          <w:szCs w:val="20"/>
        </w:rPr>
        <w:fldChar w:fldCharType="begin"/>
      </w:r>
      <w:r>
        <w:rPr>
          <w:sz w:val="20"/>
          <w:szCs w:val="20"/>
        </w:rPr>
        <w:instrText xml:space="preserve"> PAGEREF _Toc163062711 \h </w:instrText>
      </w:r>
      <w:r>
        <w:rPr>
          <w:sz w:val="20"/>
          <w:szCs w:val="20"/>
        </w:rPr>
        <w:fldChar w:fldCharType="separate"/>
      </w:r>
      <w:r>
        <w:rPr>
          <w:sz w:val="20"/>
          <w:szCs w:val="20"/>
        </w:rPr>
        <w:t>40</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"_Toc163062712" </w:instrText>
      </w:r>
      <w:r>
        <w:fldChar w:fldCharType="separate"/>
      </w:r>
      <w:r>
        <w:rPr>
          <w:rStyle w:val="21"/>
          <w:sz w:val="20"/>
          <w:szCs w:val="20"/>
        </w:rPr>
        <w:t>Article 18.</w:t>
      </w:r>
      <w:r>
        <w:rPr>
          <w:rFonts w:eastAsiaTheme="minorEastAsia"/>
          <w:sz w:val="20"/>
          <w:szCs w:val="20"/>
        </w:rPr>
        <w:tab/>
      </w:r>
      <w:r>
        <w:rPr>
          <w:rStyle w:val="21"/>
          <w:sz w:val="20"/>
          <w:szCs w:val="20"/>
        </w:rPr>
        <w:t>Propositions variantes des soumissionnaires</w:t>
      </w:r>
      <w:r>
        <w:rPr>
          <w:sz w:val="20"/>
          <w:szCs w:val="20"/>
        </w:rPr>
        <w:tab/>
      </w:r>
      <w:r>
        <w:rPr>
          <w:sz w:val="20"/>
          <w:szCs w:val="20"/>
        </w:rPr>
        <w:fldChar w:fldCharType="begin"/>
      </w:r>
      <w:r>
        <w:rPr>
          <w:sz w:val="20"/>
          <w:szCs w:val="20"/>
        </w:rPr>
        <w:instrText xml:space="preserve"> PAGEREF _Toc163062712 \h </w:instrText>
      </w:r>
      <w:r>
        <w:rPr>
          <w:sz w:val="20"/>
          <w:szCs w:val="20"/>
        </w:rPr>
        <w:fldChar w:fldCharType="separate"/>
      </w:r>
      <w:r>
        <w:rPr>
          <w:sz w:val="20"/>
          <w:szCs w:val="20"/>
        </w:rPr>
        <w:t>41</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"_Toc163062713" </w:instrText>
      </w:r>
      <w:r>
        <w:fldChar w:fldCharType="separate"/>
      </w:r>
      <w:r>
        <w:rPr>
          <w:rStyle w:val="21"/>
          <w:sz w:val="20"/>
          <w:szCs w:val="20"/>
        </w:rPr>
        <w:t>Article 19.</w:t>
      </w:r>
      <w:r>
        <w:rPr>
          <w:rFonts w:eastAsiaTheme="minorEastAsia"/>
          <w:sz w:val="20"/>
          <w:szCs w:val="20"/>
        </w:rPr>
        <w:tab/>
      </w:r>
      <w:r>
        <w:rPr>
          <w:rStyle w:val="21"/>
          <w:sz w:val="20"/>
          <w:szCs w:val="20"/>
        </w:rPr>
        <w:t>Réunion préparatoire à l’établissement des offres</w:t>
      </w:r>
      <w:r>
        <w:rPr>
          <w:sz w:val="20"/>
          <w:szCs w:val="20"/>
        </w:rPr>
        <w:tab/>
      </w:r>
      <w:r>
        <w:rPr>
          <w:sz w:val="20"/>
          <w:szCs w:val="20"/>
        </w:rPr>
        <w:fldChar w:fldCharType="begin"/>
      </w:r>
      <w:r>
        <w:rPr>
          <w:sz w:val="20"/>
          <w:szCs w:val="20"/>
        </w:rPr>
        <w:instrText xml:space="preserve"> PAGEREF _Toc163062713 \h </w:instrText>
      </w:r>
      <w:r>
        <w:rPr>
          <w:sz w:val="20"/>
          <w:szCs w:val="20"/>
        </w:rPr>
        <w:fldChar w:fldCharType="separate"/>
      </w:r>
      <w:r>
        <w:rPr>
          <w:sz w:val="20"/>
          <w:szCs w:val="20"/>
        </w:rPr>
        <w:t>41</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"_Toc163062714" </w:instrText>
      </w:r>
      <w:r>
        <w:fldChar w:fldCharType="separate"/>
      </w:r>
      <w:r>
        <w:rPr>
          <w:rStyle w:val="21"/>
          <w:sz w:val="20"/>
          <w:szCs w:val="20"/>
        </w:rPr>
        <w:t>Article 20.</w:t>
      </w:r>
      <w:r>
        <w:rPr>
          <w:rFonts w:eastAsiaTheme="minorEastAsia"/>
          <w:sz w:val="20"/>
          <w:szCs w:val="20"/>
        </w:rPr>
        <w:tab/>
      </w:r>
      <w:r>
        <w:rPr>
          <w:rStyle w:val="21"/>
          <w:sz w:val="20"/>
          <w:szCs w:val="20"/>
        </w:rPr>
        <w:t>Forme, Format et signature de l’offre</w:t>
      </w:r>
      <w:r>
        <w:rPr>
          <w:sz w:val="20"/>
          <w:szCs w:val="20"/>
        </w:rPr>
        <w:tab/>
      </w:r>
      <w:r>
        <w:rPr>
          <w:sz w:val="20"/>
          <w:szCs w:val="20"/>
        </w:rPr>
        <w:fldChar w:fldCharType="begin"/>
      </w:r>
      <w:r>
        <w:rPr>
          <w:sz w:val="20"/>
          <w:szCs w:val="20"/>
        </w:rPr>
        <w:instrText xml:space="preserve"> PAGEREF _Toc163062714 \h </w:instrText>
      </w:r>
      <w:r>
        <w:rPr>
          <w:sz w:val="20"/>
          <w:szCs w:val="20"/>
        </w:rPr>
        <w:fldChar w:fldCharType="separate"/>
      </w:r>
      <w:r>
        <w:rPr>
          <w:sz w:val="20"/>
          <w:szCs w:val="20"/>
        </w:rPr>
        <w:t>42</w:t>
      </w:r>
      <w:r>
        <w:rPr>
          <w:sz w:val="20"/>
          <w:szCs w:val="20"/>
        </w:rPr>
        <w:fldChar w:fldCharType="end"/>
      </w:r>
      <w:r>
        <w:rPr>
          <w:sz w:val="20"/>
          <w:szCs w:val="20"/>
        </w:rPr>
        <w:fldChar w:fldCharType="end"/>
      </w:r>
    </w:p>
    <w:p>
      <w:pPr>
        <w:pStyle w:val="19"/>
        <w:rPr>
          <w:rFonts w:ascii="Arial" w:hAnsi="Arial" w:cs="Arial" w:eastAsiaTheme="minorEastAsia"/>
          <w:sz w:val="20"/>
          <w:szCs w:val="20"/>
        </w:rPr>
      </w:pPr>
      <w:r>
        <w:fldChar w:fldCharType="begin"/>
      </w:r>
      <w:r>
        <w:instrText xml:space="preserve"> HYPERLINK \l "_Toc163062715" </w:instrText>
      </w:r>
      <w:r>
        <w:fldChar w:fldCharType="separate"/>
      </w:r>
      <w:r>
        <w:rPr>
          <w:rStyle w:val="21"/>
          <w:rFonts w:ascii="Arial" w:hAnsi="Arial" w:cs="Arial"/>
          <w:sz w:val="20"/>
          <w:szCs w:val="20"/>
        </w:rPr>
        <w:t>D.</w:t>
      </w:r>
      <w:r>
        <w:rPr>
          <w:rFonts w:ascii="Arial" w:hAnsi="Arial" w:cs="Arial" w:eastAsiaTheme="minorEastAsia"/>
          <w:sz w:val="20"/>
          <w:szCs w:val="20"/>
        </w:rPr>
        <w:tab/>
      </w:r>
      <w:r>
        <w:rPr>
          <w:rStyle w:val="21"/>
          <w:rFonts w:ascii="Arial" w:hAnsi="Arial" w:cs="Arial"/>
          <w:sz w:val="20"/>
          <w:szCs w:val="20"/>
        </w:rPr>
        <w:t>Dépôt des offres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_Toc163062715 \h </w:instrText>
      </w:r>
      <w:r>
        <w:rPr>
          <w:rFonts w:ascii="Arial" w:hAnsi="Arial" w:cs="Arial"/>
          <w:sz w:val="20"/>
          <w:szCs w:val="20"/>
        </w:rPr>
        <w:fldChar w:fldCharType="separate"/>
      </w:r>
      <w:r>
        <w:rPr>
          <w:rFonts w:ascii="Arial" w:hAnsi="Arial" w:cs="Arial"/>
          <w:sz w:val="20"/>
          <w:szCs w:val="20"/>
        </w:rPr>
        <w:t>43</w:t>
      </w:r>
      <w:r>
        <w:rPr>
          <w:rFonts w:ascii="Arial" w:hAnsi="Arial" w:cs="Arial"/>
          <w:sz w:val="20"/>
          <w:szCs w:val="20"/>
        </w:rPr>
        <w:fldChar w:fldCharType="end"/>
      </w:r>
      <w:r>
        <w:rPr>
          <w:rFonts w:ascii="Arial" w:hAnsi="Arial" w:cs="Arial"/>
          <w:sz w:val="20"/>
          <w:szCs w:val="20"/>
        </w:rPr>
        <w:fldChar w:fldCharType="end"/>
      </w:r>
    </w:p>
    <w:p>
      <w:pPr>
        <w:pStyle w:val="17"/>
        <w:rPr>
          <w:rFonts w:eastAsiaTheme="minorEastAsia"/>
          <w:sz w:val="20"/>
          <w:szCs w:val="20"/>
        </w:rPr>
      </w:pPr>
      <w:r>
        <w:fldChar w:fldCharType="begin"/>
      </w:r>
      <w:r>
        <w:instrText xml:space="preserve"> HYPERLINK \l "_Toc163062716" </w:instrText>
      </w:r>
      <w:r>
        <w:fldChar w:fldCharType="separate"/>
      </w:r>
      <w:r>
        <w:rPr>
          <w:rStyle w:val="21"/>
          <w:sz w:val="20"/>
          <w:szCs w:val="20"/>
        </w:rPr>
        <w:t>Article 21.</w:t>
      </w:r>
      <w:r>
        <w:rPr>
          <w:rFonts w:eastAsiaTheme="minorEastAsia"/>
          <w:sz w:val="20"/>
          <w:szCs w:val="20"/>
        </w:rPr>
        <w:tab/>
      </w:r>
      <w:r>
        <w:rPr>
          <w:rStyle w:val="21"/>
          <w:sz w:val="20"/>
          <w:szCs w:val="20"/>
        </w:rPr>
        <w:t>Cachetage et marquage des offres</w:t>
      </w:r>
      <w:r>
        <w:rPr>
          <w:sz w:val="20"/>
          <w:szCs w:val="20"/>
        </w:rPr>
        <w:tab/>
      </w:r>
      <w:r>
        <w:rPr>
          <w:sz w:val="20"/>
          <w:szCs w:val="20"/>
        </w:rPr>
        <w:fldChar w:fldCharType="begin"/>
      </w:r>
      <w:r>
        <w:rPr>
          <w:sz w:val="20"/>
          <w:szCs w:val="20"/>
        </w:rPr>
        <w:instrText xml:space="preserve"> PAGEREF _Toc163062716 \h </w:instrText>
      </w:r>
      <w:r>
        <w:rPr>
          <w:sz w:val="20"/>
          <w:szCs w:val="20"/>
        </w:rPr>
        <w:fldChar w:fldCharType="separate"/>
      </w:r>
      <w:r>
        <w:rPr>
          <w:sz w:val="20"/>
          <w:szCs w:val="20"/>
        </w:rPr>
        <w:t>43</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"_Toc163062717" </w:instrText>
      </w:r>
      <w:r>
        <w:fldChar w:fldCharType="separate"/>
      </w:r>
      <w:r>
        <w:rPr>
          <w:rStyle w:val="21"/>
          <w:sz w:val="20"/>
          <w:szCs w:val="20"/>
        </w:rPr>
        <w:t>Article 22.</w:t>
      </w:r>
      <w:r>
        <w:rPr>
          <w:rFonts w:eastAsiaTheme="minorEastAsia"/>
          <w:sz w:val="20"/>
          <w:szCs w:val="20"/>
        </w:rPr>
        <w:tab/>
      </w:r>
      <w:r>
        <w:rPr>
          <w:rStyle w:val="21"/>
          <w:sz w:val="20"/>
          <w:szCs w:val="20"/>
        </w:rPr>
        <w:t>Date, heure limites de dépôt des offres et Mode de soumission</w:t>
      </w:r>
      <w:r>
        <w:rPr>
          <w:sz w:val="20"/>
          <w:szCs w:val="20"/>
        </w:rPr>
        <w:tab/>
      </w:r>
      <w:r>
        <w:rPr>
          <w:sz w:val="20"/>
          <w:szCs w:val="20"/>
        </w:rPr>
        <w:fldChar w:fldCharType="begin"/>
      </w:r>
      <w:r>
        <w:rPr>
          <w:sz w:val="20"/>
          <w:szCs w:val="20"/>
        </w:rPr>
        <w:instrText xml:space="preserve"> PAGEREF _Toc163062717 \h </w:instrText>
      </w:r>
      <w:r>
        <w:rPr>
          <w:sz w:val="20"/>
          <w:szCs w:val="20"/>
        </w:rPr>
        <w:fldChar w:fldCharType="separate"/>
      </w:r>
      <w:r>
        <w:rPr>
          <w:sz w:val="20"/>
          <w:szCs w:val="20"/>
        </w:rPr>
        <w:t>44</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"_Toc163062718" </w:instrText>
      </w:r>
      <w:r>
        <w:fldChar w:fldCharType="separate"/>
      </w:r>
      <w:r>
        <w:rPr>
          <w:rStyle w:val="21"/>
          <w:sz w:val="20"/>
          <w:szCs w:val="20"/>
        </w:rPr>
        <w:t>Article 23.</w:t>
      </w:r>
      <w:r>
        <w:rPr>
          <w:rFonts w:eastAsiaTheme="minorEastAsia"/>
          <w:sz w:val="20"/>
          <w:szCs w:val="20"/>
        </w:rPr>
        <w:tab/>
      </w:r>
      <w:r>
        <w:rPr>
          <w:rStyle w:val="21"/>
          <w:sz w:val="20"/>
          <w:szCs w:val="20"/>
        </w:rPr>
        <w:t>Offres hors délai</w:t>
      </w:r>
      <w:r>
        <w:rPr>
          <w:sz w:val="20"/>
          <w:szCs w:val="20"/>
        </w:rPr>
        <w:tab/>
      </w:r>
      <w:r>
        <w:rPr>
          <w:sz w:val="20"/>
          <w:szCs w:val="20"/>
        </w:rPr>
        <w:fldChar w:fldCharType="begin"/>
      </w:r>
      <w:r>
        <w:rPr>
          <w:sz w:val="20"/>
          <w:szCs w:val="20"/>
        </w:rPr>
        <w:instrText xml:space="preserve"> PAGEREF _Toc163062718 \h </w:instrText>
      </w:r>
      <w:r>
        <w:rPr>
          <w:sz w:val="20"/>
          <w:szCs w:val="20"/>
        </w:rPr>
        <w:fldChar w:fldCharType="separate"/>
      </w:r>
      <w:r>
        <w:rPr>
          <w:sz w:val="20"/>
          <w:szCs w:val="20"/>
        </w:rPr>
        <w:t>45</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"_Toc163062719" </w:instrText>
      </w:r>
      <w:r>
        <w:fldChar w:fldCharType="separate"/>
      </w:r>
      <w:r>
        <w:rPr>
          <w:rStyle w:val="21"/>
          <w:sz w:val="20"/>
          <w:szCs w:val="20"/>
        </w:rPr>
        <w:t>Article 24.</w:t>
      </w:r>
      <w:r>
        <w:rPr>
          <w:rFonts w:eastAsiaTheme="minorEastAsia"/>
          <w:sz w:val="20"/>
          <w:szCs w:val="20"/>
        </w:rPr>
        <w:tab/>
      </w:r>
      <w:r>
        <w:rPr>
          <w:rStyle w:val="21"/>
          <w:sz w:val="20"/>
          <w:szCs w:val="20"/>
        </w:rPr>
        <w:t>Modification, substitution et retrait des offres</w:t>
      </w:r>
      <w:r>
        <w:rPr>
          <w:sz w:val="20"/>
          <w:szCs w:val="20"/>
        </w:rPr>
        <w:tab/>
      </w:r>
      <w:r>
        <w:rPr>
          <w:sz w:val="20"/>
          <w:szCs w:val="20"/>
        </w:rPr>
        <w:fldChar w:fldCharType="begin"/>
      </w:r>
      <w:r>
        <w:rPr>
          <w:sz w:val="20"/>
          <w:szCs w:val="20"/>
        </w:rPr>
        <w:instrText xml:space="preserve"> PAGEREF _Toc163062719 \h </w:instrText>
      </w:r>
      <w:r>
        <w:rPr>
          <w:sz w:val="20"/>
          <w:szCs w:val="20"/>
        </w:rPr>
        <w:fldChar w:fldCharType="separate"/>
      </w:r>
      <w:r>
        <w:rPr>
          <w:sz w:val="20"/>
          <w:szCs w:val="20"/>
        </w:rPr>
        <w:t>45</w:t>
      </w:r>
      <w:r>
        <w:rPr>
          <w:sz w:val="20"/>
          <w:szCs w:val="20"/>
        </w:rPr>
        <w:fldChar w:fldCharType="end"/>
      </w:r>
      <w:r>
        <w:rPr>
          <w:sz w:val="20"/>
          <w:szCs w:val="20"/>
        </w:rPr>
        <w:fldChar w:fldCharType="end"/>
      </w:r>
    </w:p>
    <w:p>
      <w:pPr>
        <w:pStyle w:val="19"/>
        <w:rPr>
          <w:rFonts w:ascii="Arial" w:hAnsi="Arial" w:cs="Arial" w:eastAsiaTheme="minorEastAsia"/>
          <w:sz w:val="20"/>
          <w:szCs w:val="20"/>
        </w:rPr>
      </w:pPr>
      <w:r>
        <w:fldChar w:fldCharType="begin"/>
      </w:r>
      <w:r>
        <w:instrText xml:space="preserve"> HYPERLINK \l "_Toc163062720" </w:instrText>
      </w:r>
      <w:r>
        <w:fldChar w:fldCharType="separate"/>
      </w:r>
      <w:r>
        <w:rPr>
          <w:rStyle w:val="21"/>
          <w:rFonts w:ascii="Arial" w:hAnsi="Arial" w:cs="Arial"/>
          <w:sz w:val="20"/>
          <w:szCs w:val="20"/>
        </w:rPr>
        <w:t>E.</w:t>
      </w:r>
      <w:r>
        <w:rPr>
          <w:rFonts w:ascii="Arial" w:hAnsi="Arial" w:cs="Arial" w:eastAsiaTheme="minorEastAsia"/>
          <w:sz w:val="20"/>
          <w:szCs w:val="20"/>
        </w:rPr>
        <w:tab/>
      </w:r>
      <w:r>
        <w:rPr>
          <w:rStyle w:val="21"/>
          <w:rFonts w:ascii="Arial" w:hAnsi="Arial" w:cs="Arial"/>
          <w:sz w:val="20"/>
          <w:szCs w:val="20"/>
        </w:rPr>
        <w:t>Ouverture des plis et évaluation des offres</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_Toc163062720 \h </w:instrText>
      </w:r>
      <w:r>
        <w:rPr>
          <w:rFonts w:ascii="Arial" w:hAnsi="Arial" w:cs="Arial"/>
          <w:sz w:val="20"/>
          <w:szCs w:val="20"/>
        </w:rPr>
        <w:fldChar w:fldCharType="separate"/>
      </w:r>
      <w:r>
        <w:rPr>
          <w:rFonts w:ascii="Arial" w:hAnsi="Arial" w:cs="Arial"/>
          <w:sz w:val="20"/>
          <w:szCs w:val="20"/>
        </w:rPr>
        <w:t>46</w:t>
      </w:r>
      <w:r>
        <w:rPr>
          <w:rFonts w:ascii="Arial" w:hAnsi="Arial" w:cs="Arial"/>
          <w:sz w:val="20"/>
          <w:szCs w:val="20"/>
        </w:rPr>
        <w:fldChar w:fldCharType="end"/>
      </w:r>
      <w:r>
        <w:rPr>
          <w:rFonts w:ascii="Arial" w:hAnsi="Arial" w:cs="Arial"/>
          <w:sz w:val="20"/>
          <w:szCs w:val="20"/>
        </w:rPr>
        <w:fldChar w:fldCharType="end"/>
      </w:r>
    </w:p>
    <w:p>
      <w:pPr>
        <w:pStyle w:val="17"/>
        <w:rPr>
          <w:rFonts w:eastAsiaTheme="minorEastAsia"/>
          <w:sz w:val="20"/>
          <w:szCs w:val="20"/>
        </w:rPr>
      </w:pPr>
      <w:r>
        <w:fldChar w:fldCharType="begin"/>
      </w:r>
      <w:r>
        <w:instrText xml:space="preserve"> HYPERLINK \l "_Toc163062721" </w:instrText>
      </w:r>
      <w:r>
        <w:fldChar w:fldCharType="separate"/>
      </w:r>
      <w:r>
        <w:rPr>
          <w:rStyle w:val="21"/>
          <w:sz w:val="20"/>
          <w:szCs w:val="20"/>
        </w:rPr>
        <w:t>Article 25.</w:t>
      </w:r>
      <w:r>
        <w:rPr>
          <w:rFonts w:eastAsiaTheme="minorEastAsia"/>
          <w:sz w:val="20"/>
          <w:szCs w:val="20"/>
        </w:rPr>
        <w:tab/>
      </w:r>
      <w:r>
        <w:rPr>
          <w:rStyle w:val="21"/>
          <w:sz w:val="20"/>
          <w:szCs w:val="20"/>
        </w:rPr>
        <w:t>Ouverture des plis et recours</w:t>
      </w:r>
      <w:r>
        <w:rPr>
          <w:sz w:val="20"/>
          <w:szCs w:val="20"/>
        </w:rPr>
        <w:tab/>
      </w:r>
      <w:r>
        <w:rPr>
          <w:sz w:val="20"/>
          <w:szCs w:val="20"/>
        </w:rPr>
        <w:fldChar w:fldCharType="begin"/>
      </w:r>
      <w:r>
        <w:rPr>
          <w:sz w:val="20"/>
          <w:szCs w:val="20"/>
        </w:rPr>
        <w:instrText xml:space="preserve"> PAGEREF _Toc163062721 \h </w:instrText>
      </w:r>
      <w:r>
        <w:rPr>
          <w:sz w:val="20"/>
          <w:szCs w:val="20"/>
        </w:rPr>
        <w:fldChar w:fldCharType="separate"/>
      </w:r>
      <w:r>
        <w:rPr>
          <w:sz w:val="20"/>
          <w:szCs w:val="20"/>
        </w:rPr>
        <w:t>46</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"_Toc163062722" </w:instrText>
      </w:r>
      <w:r>
        <w:fldChar w:fldCharType="separate"/>
      </w:r>
      <w:r>
        <w:rPr>
          <w:rStyle w:val="21"/>
          <w:sz w:val="20"/>
          <w:szCs w:val="20"/>
        </w:rPr>
        <w:t>Article 26.</w:t>
      </w:r>
      <w:r>
        <w:rPr>
          <w:rFonts w:eastAsiaTheme="minorEastAsia"/>
          <w:sz w:val="20"/>
          <w:szCs w:val="20"/>
        </w:rPr>
        <w:tab/>
      </w:r>
      <w:r>
        <w:rPr>
          <w:rStyle w:val="21"/>
          <w:sz w:val="20"/>
          <w:szCs w:val="20"/>
        </w:rPr>
        <w:t>Caractère confidentiel de la procédure</w:t>
      </w:r>
      <w:r>
        <w:rPr>
          <w:sz w:val="20"/>
          <w:szCs w:val="20"/>
        </w:rPr>
        <w:tab/>
      </w:r>
      <w:r>
        <w:rPr>
          <w:sz w:val="20"/>
          <w:szCs w:val="20"/>
        </w:rPr>
        <w:fldChar w:fldCharType="begin"/>
      </w:r>
      <w:r>
        <w:rPr>
          <w:sz w:val="20"/>
          <w:szCs w:val="20"/>
        </w:rPr>
        <w:instrText xml:space="preserve"> PAGEREF _Toc163062722 \h </w:instrText>
      </w:r>
      <w:r>
        <w:rPr>
          <w:sz w:val="20"/>
          <w:szCs w:val="20"/>
        </w:rPr>
        <w:fldChar w:fldCharType="separate"/>
      </w:r>
      <w:r>
        <w:rPr>
          <w:sz w:val="20"/>
          <w:szCs w:val="20"/>
        </w:rPr>
        <w:t>48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"_Toc163062723" </w:instrText>
      </w:r>
      <w:r>
        <w:fldChar w:fldCharType="separate"/>
      </w:r>
      <w:r>
        <w:rPr>
          <w:rStyle w:val="21"/>
          <w:sz w:val="20"/>
          <w:szCs w:val="20"/>
        </w:rPr>
        <w:t>Article 27.</w:t>
      </w:r>
      <w:r>
        <w:rPr>
          <w:rFonts w:eastAsiaTheme="minorEastAsia"/>
          <w:sz w:val="20"/>
          <w:szCs w:val="20"/>
        </w:rPr>
        <w:tab/>
      </w:r>
      <w:r>
        <w:rPr>
          <w:rStyle w:val="21"/>
          <w:sz w:val="20"/>
          <w:szCs w:val="20"/>
        </w:rPr>
        <w:t>Eclaircissements sur les offres et contacts avec le Maître d’Ouvrage ou le Maître d’Ouvrage Délégué</w:t>
      </w:r>
      <w:r>
        <w:rPr>
          <w:sz w:val="20"/>
          <w:szCs w:val="20"/>
        </w:rPr>
        <w:tab/>
      </w:r>
      <w:r>
        <w:rPr>
          <w:sz w:val="20"/>
          <w:szCs w:val="20"/>
        </w:rPr>
        <w:fldChar w:fldCharType="begin"/>
      </w:r>
      <w:r>
        <w:rPr>
          <w:sz w:val="20"/>
          <w:szCs w:val="20"/>
        </w:rPr>
        <w:instrText xml:space="preserve"> PAGEREF _Toc163062723 \h </w:instrText>
      </w:r>
      <w:r>
        <w:rPr>
          <w:sz w:val="20"/>
          <w:szCs w:val="20"/>
        </w:rPr>
        <w:fldChar w:fldCharType="separate"/>
      </w:r>
      <w:r>
        <w:rPr>
          <w:sz w:val="20"/>
          <w:szCs w:val="20"/>
        </w:rPr>
        <w:t>48</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"_Toc163062724" </w:instrText>
      </w:r>
      <w:r>
        <w:fldChar w:fldCharType="separate"/>
      </w:r>
      <w:r>
        <w:rPr>
          <w:rStyle w:val="21"/>
          <w:sz w:val="20"/>
          <w:szCs w:val="20"/>
        </w:rPr>
        <w:t>Article 28.</w:t>
      </w:r>
      <w:r>
        <w:rPr>
          <w:rFonts w:eastAsiaTheme="minorEastAsia"/>
          <w:sz w:val="20"/>
          <w:szCs w:val="20"/>
        </w:rPr>
        <w:tab/>
      </w:r>
      <w:r>
        <w:rPr>
          <w:rStyle w:val="21"/>
          <w:sz w:val="20"/>
          <w:szCs w:val="20"/>
        </w:rPr>
        <w:t>Détermination de la conformité des offres et évaluation au plan technique</w:t>
      </w:r>
      <w:r>
        <w:rPr>
          <w:sz w:val="20"/>
          <w:szCs w:val="20"/>
        </w:rPr>
        <w:tab/>
      </w:r>
      <w:r>
        <w:rPr>
          <w:sz w:val="20"/>
          <w:szCs w:val="20"/>
        </w:rPr>
        <w:fldChar w:fldCharType="begin"/>
      </w:r>
      <w:r>
        <w:rPr>
          <w:sz w:val="20"/>
          <w:szCs w:val="20"/>
        </w:rPr>
        <w:instrText xml:space="preserve"> PAGEREF _Toc163062724 \h </w:instrText>
      </w:r>
      <w:r>
        <w:rPr>
          <w:sz w:val="20"/>
          <w:szCs w:val="20"/>
        </w:rPr>
        <w:fldChar w:fldCharType="separate"/>
      </w:r>
      <w:r>
        <w:rPr>
          <w:sz w:val="20"/>
          <w:szCs w:val="20"/>
        </w:rPr>
        <w:t>49</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"_Toc163062725" </w:instrText>
      </w:r>
      <w:r>
        <w:fldChar w:fldCharType="separate"/>
      </w:r>
      <w:r>
        <w:rPr>
          <w:rStyle w:val="21"/>
          <w:sz w:val="20"/>
          <w:szCs w:val="20"/>
        </w:rPr>
        <w:t>Article 29.</w:t>
      </w:r>
      <w:r>
        <w:rPr>
          <w:rFonts w:eastAsiaTheme="minorEastAsia"/>
          <w:sz w:val="20"/>
          <w:szCs w:val="20"/>
        </w:rPr>
        <w:tab/>
      </w:r>
      <w:r>
        <w:rPr>
          <w:rStyle w:val="21"/>
          <w:sz w:val="20"/>
          <w:szCs w:val="20"/>
        </w:rPr>
        <w:t>Critères d’évaluation et de qualification du soumissionnaire</w:t>
      </w:r>
      <w:r>
        <w:rPr>
          <w:sz w:val="20"/>
          <w:szCs w:val="20"/>
        </w:rPr>
        <w:tab/>
      </w:r>
      <w:r>
        <w:rPr>
          <w:sz w:val="20"/>
          <w:szCs w:val="20"/>
        </w:rPr>
        <w:fldChar w:fldCharType="begin"/>
      </w:r>
      <w:r>
        <w:rPr>
          <w:sz w:val="20"/>
          <w:szCs w:val="20"/>
        </w:rPr>
        <w:instrText xml:space="preserve"> PAGEREF _Toc163062725 \h </w:instrText>
      </w:r>
      <w:r>
        <w:rPr>
          <w:sz w:val="20"/>
          <w:szCs w:val="20"/>
        </w:rPr>
        <w:fldChar w:fldCharType="separate"/>
      </w:r>
      <w:r>
        <w:rPr>
          <w:sz w:val="20"/>
          <w:szCs w:val="20"/>
        </w:rPr>
        <w:t>50</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"_Toc163062726" </w:instrText>
      </w:r>
      <w:r>
        <w:fldChar w:fldCharType="separate"/>
      </w:r>
      <w:r>
        <w:rPr>
          <w:rStyle w:val="21"/>
          <w:sz w:val="20"/>
          <w:szCs w:val="20"/>
        </w:rPr>
        <w:t>Article 30.</w:t>
      </w:r>
      <w:r>
        <w:rPr>
          <w:rFonts w:eastAsiaTheme="minorEastAsia"/>
          <w:sz w:val="20"/>
          <w:szCs w:val="20"/>
        </w:rPr>
        <w:tab/>
      </w:r>
      <w:r>
        <w:rPr>
          <w:rStyle w:val="21"/>
          <w:sz w:val="20"/>
          <w:szCs w:val="20"/>
        </w:rPr>
        <w:t>Correction des erreurs</w:t>
      </w:r>
      <w:r>
        <w:rPr>
          <w:sz w:val="20"/>
          <w:szCs w:val="20"/>
        </w:rPr>
        <w:tab/>
      </w:r>
      <w:r>
        <w:rPr>
          <w:sz w:val="20"/>
          <w:szCs w:val="20"/>
        </w:rPr>
        <w:fldChar w:fldCharType="begin"/>
      </w:r>
      <w:r>
        <w:rPr>
          <w:sz w:val="20"/>
          <w:szCs w:val="20"/>
        </w:rPr>
        <w:instrText xml:space="preserve"> PAGEREF _Toc163062726 \h </w:instrText>
      </w:r>
      <w:r>
        <w:rPr>
          <w:sz w:val="20"/>
          <w:szCs w:val="20"/>
        </w:rPr>
        <w:fldChar w:fldCharType="separate"/>
      </w:r>
      <w:r>
        <w:rPr>
          <w:sz w:val="20"/>
          <w:szCs w:val="20"/>
        </w:rPr>
        <w:t>50</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"_Toc163062727" </w:instrText>
      </w:r>
      <w:r>
        <w:fldChar w:fldCharType="separate"/>
      </w:r>
      <w:r>
        <w:rPr>
          <w:rStyle w:val="21"/>
          <w:sz w:val="20"/>
          <w:szCs w:val="20"/>
        </w:rPr>
        <w:t>Article 31.</w:t>
      </w:r>
      <w:r>
        <w:rPr>
          <w:rFonts w:eastAsiaTheme="minorEastAsia"/>
          <w:sz w:val="20"/>
          <w:szCs w:val="20"/>
        </w:rPr>
        <w:tab/>
      </w:r>
      <w:r>
        <w:rPr>
          <w:rStyle w:val="21"/>
          <w:sz w:val="20"/>
          <w:szCs w:val="20"/>
        </w:rPr>
        <w:t>Conversion en une seule monnaie</w:t>
      </w:r>
      <w:r>
        <w:rPr>
          <w:sz w:val="20"/>
          <w:szCs w:val="20"/>
        </w:rPr>
        <w:tab/>
      </w:r>
      <w:r>
        <w:rPr>
          <w:sz w:val="20"/>
          <w:szCs w:val="20"/>
        </w:rPr>
        <w:fldChar w:fldCharType="begin"/>
      </w:r>
      <w:r>
        <w:rPr>
          <w:sz w:val="20"/>
          <w:szCs w:val="20"/>
        </w:rPr>
        <w:instrText xml:space="preserve"> PAGEREF _Toc163062727 \h </w:instrText>
      </w:r>
      <w:r>
        <w:rPr>
          <w:sz w:val="20"/>
          <w:szCs w:val="20"/>
        </w:rPr>
        <w:fldChar w:fldCharType="separate"/>
      </w:r>
      <w:r>
        <w:rPr>
          <w:sz w:val="20"/>
          <w:szCs w:val="20"/>
        </w:rPr>
        <w:t>50</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"_Toc163062728" </w:instrText>
      </w:r>
      <w:r>
        <w:fldChar w:fldCharType="separate"/>
      </w:r>
      <w:r>
        <w:rPr>
          <w:rStyle w:val="21"/>
          <w:sz w:val="20"/>
          <w:szCs w:val="20"/>
        </w:rPr>
        <w:t>Article 32.</w:t>
      </w:r>
      <w:r>
        <w:rPr>
          <w:rFonts w:eastAsiaTheme="minorEastAsia"/>
          <w:sz w:val="20"/>
          <w:szCs w:val="20"/>
        </w:rPr>
        <w:tab/>
      </w:r>
      <w:r>
        <w:rPr>
          <w:rStyle w:val="21"/>
          <w:sz w:val="20"/>
          <w:szCs w:val="20"/>
        </w:rPr>
        <w:t>Evaluation et comparaison des offres au plan financier</w:t>
      </w:r>
      <w:r>
        <w:rPr>
          <w:sz w:val="20"/>
          <w:szCs w:val="20"/>
        </w:rPr>
        <w:tab/>
      </w:r>
      <w:r>
        <w:rPr>
          <w:sz w:val="20"/>
          <w:szCs w:val="20"/>
        </w:rPr>
        <w:fldChar w:fldCharType="begin"/>
      </w:r>
      <w:r>
        <w:rPr>
          <w:sz w:val="20"/>
          <w:szCs w:val="20"/>
        </w:rPr>
        <w:instrText xml:space="preserve"> PAGEREF _Toc163062728 \h </w:instrText>
      </w:r>
      <w:r>
        <w:rPr>
          <w:sz w:val="20"/>
          <w:szCs w:val="20"/>
        </w:rPr>
        <w:fldChar w:fldCharType="separate"/>
      </w:r>
      <w:r>
        <w:rPr>
          <w:sz w:val="20"/>
          <w:szCs w:val="20"/>
        </w:rPr>
        <w:t>50</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"_Toc163062729" </w:instrText>
      </w:r>
      <w:r>
        <w:fldChar w:fldCharType="separate"/>
      </w:r>
      <w:r>
        <w:rPr>
          <w:rStyle w:val="21"/>
          <w:sz w:val="20"/>
          <w:szCs w:val="20"/>
        </w:rPr>
        <w:t>Article 33.</w:t>
      </w:r>
      <w:r>
        <w:rPr>
          <w:rFonts w:eastAsiaTheme="minorEastAsia"/>
          <w:sz w:val="20"/>
          <w:szCs w:val="20"/>
        </w:rPr>
        <w:tab/>
      </w:r>
      <w:r>
        <w:rPr>
          <w:rStyle w:val="21"/>
          <w:sz w:val="20"/>
          <w:szCs w:val="20"/>
        </w:rPr>
        <w:t>Préférence accordée aux soumissionnaires nationaux</w:t>
      </w:r>
      <w:r>
        <w:rPr>
          <w:sz w:val="20"/>
          <w:szCs w:val="20"/>
        </w:rPr>
        <w:tab/>
      </w:r>
      <w:r>
        <w:rPr>
          <w:sz w:val="20"/>
          <w:szCs w:val="20"/>
        </w:rPr>
        <w:fldChar w:fldCharType="begin"/>
      </w:r>
      <w:r>
        <w:rPr>
          <w:sz w:val="20"/>
          <w:szCs w:val="20"/>
        </w:rPr>
        <w:instrText xml:space="preserve"> PAGEREF _Toc163062729 \h </w:instrText>
      </w:r>
      <w:r>
        <w:rPr>
          <w:sz w:val="20"/>
          <w:szCs w:val="20"/>
        </w:rPr>
        <w:fldChar w:fldCharType="separate"/>
      </w:r>
      <w:r>
        <w:rPr>
          <w:sz w:val="20"/>
          <w:szCs w:val="20"/>
        </w:rPr>
        <w:t>52</w:t>
      </w:r>
      <w:r>
        <w:rPr>
          <w:sz w:val="20"/>
          <w:szCs w:val="20"/>
        </w:rPr>
        <w:fldChar w:fldCharType="end"/>
      </w:r>
      <w:r>
        <w:rPr>
          <w:sz w:val="20"/>
          <w:szCs w:val="20"/>
        </w:rPr>
        <w:fldChar w:fldCharType="end"/>
      </w:r>
    </w:p>
    <w:p>
      <w:pPr>
        <w:pStyle w:val="19"/>
        <w:rPr>
          <w:rFonts w:ascii="Arial" w:hAnsi="Arial" w:cs="Arial" w:eastAsiaTheme="minorEastAsia"/>
          <w:sz w:val="20"/>
          <w:szCs w:val="20"/>
        </w:rPr>
      </w:pPr>
      <w:r>
        <w:fldChar w:fldCharType="begin"/>
      </w:r>
      <w:r>
        <w:instrText xml:space="preserve"> HYPERLINK \l "_Toc163062730" </w:instrText>
      </w:r>
      <w:r>
        <w:fldChar w:fldCharType="separate"/>
      </w:r>
      <w:r>
        <w:rPr>
          <w:rStyle w:val="21"/>
          <w:rFonts w:ascii="Arial" w:hAnsi="Arial" w:cs="Arial"/>
          <w:sz w:val="20"/>
          <w:szCs w:val="20"/>
        </w:rPr>
        <w:t>F.</w:t>
      </w:r>
      <w:r>
        <w:rPr>
          <w:rFonts w:ascii="Arial" w:hAnsi="Arial" w:cs="Arial" w:eastAsiaTheme="minorEastAsia"/>
          <w:sz w:val="20"/>
          <w:szCs w:val="20"/>
        </w:rPr>
        <w:tab/>
      </w:r>
      <w:r>
        <w:rPr>
          <w:rStyle w:val="21"/>
          <w:rFonts w:ascii="Arial" w:hAnsi="Arial" w:cs="Arial"/>
          <w:sz w:val="20"/>
          <w:szCs w:val="20"/>
        </w:rPr>
        <w:t>Attribution</w:t>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PAGEREF _Toc163062730 \h </w:instrText>
      </w:r>
      <w:r>
        <w:rPr>
          <w:rFonts w:ascii="Arial" w:hAnsi="Arial" w:cs="Arial"/>
          <w:sz w:val="20"/>
          <w:szCs w:val="20"/>
        </w:rPr>
        <w:fldChar w:fldCharType="separate"/>
      </w:r>
      <w:r>
        <w:rPr>
          <w:rFonts w:ascii="Arial" w:hAnsi="Arial" w:cs="Arial"/>
          <w:sz w:val="20"/>
          <w:szCs w:val="20"/>
        </w:rPr>
        <w:t>52</w:t>
      </w:r>
      <w:r>
        <w:rPr>
          <w:rFonts w:ascii="Arial" w:hAnsi="Arial" w:cs="Arial"/>
          <w:sz w:val="20"/>
          <w:szCs w:val="20"/>
        </w:rPr>
        <w:fldChar w:fldCharType="end"/>
      </w:r>
      <w:r>
        <w:rPr>
          <w:rFonts w:ascii="Arial" w:hAnsi="Arial" w:cs="Arial"/>
          <w:sz w:val="20"/>
          <w:szCs w:val="20"/>
        </w:rPr>
        <w:fldChar w:fldCharType="end"/>
      </w:r>
    </w:p>
    <w:p>
      <w:pPr>
        <w:pStyle w:val="17"/>
        <w:rPr>
          <w:rFonts w:eastAsiaTheme="minorEastAsia"/>
          <w:sz w:val="20"/>
          <w:szCs w:val="20"/>
        </w:rPr>
      </w:pPr>
      <w:r>
        <w:fldChar w:fldCharType="begin"/>
      </w:r>
      <w:r>
        <w:instrText xml:space="preserve"> HYPERLINK \l "_Toc163062731" </w:instrText>
      </w:r>
      <w:r>
        <w:fldChar w:fldCharType="separate"/>
      </w:r>
      <w:r>
        <w:rPr>
          <w:rStyle w:val="21"/>
          <w:sz w:val="20"/>
          <w:szCs w:val="20"/>
        </w:rPr>
        <w:t>Article 34.</w:t>
      </w:r>
      <w:r>
        <w:rPr>
          <w:rFonts w:eastAsiaTheme="minorEastAsia"/>
          <w:sz w:val="20"/>
          <w:szCs w:val="20"/>
        </w:rPr>
        <w:tab/>
      </w:r>
      <w:r>
        <w:rPr>
          <w:rStyle w:val="21"/>
          <w:sz w:val="20"/>
          <w:szCs w:val="20"/>
        </w:rPr>
        <w:t>Attribution</w:t>
      </w:r>
      <w:r>
        <w:rPr>
          <w:sz w:val="20"/>
          <w:szCs w:val="20"/>
        </w:rPr>
        <w:tab/>
      </w:r>
      <w:r>
        <w:rPr>
          <w:sz w:val="20"/>
          <w:szCs w:val="20"/>
        </w:rPr>
        <w:fldChar w:fldCharType="begin"/>
      </w:r>
      <w:r>
        <w:rPr>
          <w:sz w:val="20"/>
          <w:szCs w:val="20"/>
        </w:rPr>
        <w:instrText xml:space="preserve"> PAGEREF _Toc163062731 \h </w:instrText>
      </w:r>
      <w:r>
        <w:rPr>
          <w:sz w:val="20"/>
          <w:szCs w:val="20"/>
        </w:rPr>
        <w:fldChar w:fldCharType="separate"/>
      </w:r>
      <w:r>
        <w:rPr>
          <w:sz w:val="20"/>
          <w:szCs w:val="20"/>
        </w:rPr>
        <w:t>52</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"_Toc163062732" </w:instrText>
      </w:r>
      <w:r>
        <w:fldChar w:fldCharType="separate"/>
      </w:r>
      <w:r>
        <w:rPr>
          <w:rStyle w:val="21"/>
          <w:sz w:val="20"/>
          <w:szCs w:val="20"/>
        </w:rPr>
        <w:t>Article 35.</w:t>
      </w:r>
      <w:r>
        <w:rPr>
          <w:rFonts w:eastAsiaTheme="minorEastAsia"/>
          <w:sz w:val="20"/>
          <w:szCs w:val="20"/>
        </w:rPr>
        <w:tab/>
      </w:r>
      <w:r>
        <w:rPr>
          <w:rStyle w:val="21"/>
          <w:sz w:val="20"/>
          <w:szCs w:val="20"/>
        </w:rPr>
        <w:t>Droit du Maître d’Ouvrage ou du Maître d’Ouvrage Délégué de déclarer un Appel d’Offres infructueux ou d’annuler une procédure</w:t>
      </w:r>
      <w:r>
        <w:rPr>
          <w:sz w:val="20"/>
          <w:szCs w:val="20"/>
        </w:rPr>
        <w:tab/>
      </w:r>
      <w:r>
        <w:rPr>
          <w:sz w:val="20"/>
          <w:szCs w:val="20"/>
        </w:rPr>
        <w:fldChar w:fldCharType="begin"/>
      </w:r>
      <w:r>
        <w:rPr>
          <w:sz w:val="20"/>
          <w:szCs w:val="20"/>
        </w:rPr>
        <w:instrText xml:space="preserve"> PAGEREF _Toc163062732 \h </w:instrText>
      </w:r>
      <w:r>
        <w:rPr>
          <w:sz w:val="20"/>
          <w:szCs w:val="20"/>
        </w:rPr>
        <w:fldChar w:fldCharType="separate"/>
      </w:r>
      <w:r>
        <w:rPr>
          <w:sz w:val="20"/>
          <w:szCs w:val="20"/>
        </w:rPr>
        <w:t>53</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"_Toc163062733" </w:instrText>
      </w:r>
      <w:r>
        <w:fldChar w:fldCharType="separate"/>
      </w:r>
      <w:r>
        <w:rPr>
          <w:rStyle w:val="21"/>
          <w:sz w:val="20"/>
          <w:szCs w:val="20"/>
        </w:rPr>
        <w:t>Article 36.</w:t>
      </w:r>
      <w:r>
        <w:rPr>
          <w:rFonts w:eastAsiaTheme="minorEastAsia"/>
          <w:sz w:val="20"/>
          <w:szCs w:val="20"/>
        </w:rPr>
        <w:tab/>
      </w:r>
      <w:r>
        <w:rPr>
          <w:rStyle w:val="21"/>
          <w:sz w:val="20"/>
          <w:szCs w:val="20"/>
        </w:rPr>
        <w:t>Notification de l’attribution du marché</w:t>
      </w:r>
      <w:r>
        <w:rPr>
          <w:sz w:val="20"/>
          <w:szCs w:val="20"/>
        </w:rPr>
        <w:tab/>
      </w:r>
      <w:r>
        <w:rPr>
          <w:sz w:val="20"/>
          <w:szCs w:val="20"/>
        </w:rPr>
        <w:fldChar w:fldCharType="begin"/>
      </w:r>
      <w:r>
        <w:rPr>
          <w:sz w:val="20"/>
          <w:szCs w:val="20"/>
        </w:rPr>
        <w:instrText xml:space="preserve"> PAGEREF _Toc163062733 \h </w:instrText>
      </w:r>
      <w:r>
        <w:rPr>
          <w:sz w:val="20"/>
          <w:szCs w:val="20"/>
        </w:rPr>
        <w:fldChar w:fldCharType="separate"/>
      </w:r>
      <w:r>
        <w:rPr>
          <w:sz w:val="20"/>
          <w:szCs w:val="20"/>
        </w:rPr>
        <w:t>53</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"_Toc163062734" </w:instrText>
      </w:r>
      <w:r>
        <w:fldChar w:fldCharType="separate"/>
      </w:r>
      <w:r>
        <w:rPr>
          <w:rStyle w:val="21"/>
          <w:sz w:val="20"/>
          <w:szCs w:val="20"/>
        </w:rPr>
        <w:t>Article 37.</w:t>
      </w:r>
      <w:r>
        <w:rPr>
          <w:rFonts w:eastAsiaTheme="minorEastAsia"/>
          <w:sz w:val="20"/>
          <w:szCs w:val="20"/>
        </w:rPr>
        <w:tab/>
      </w:r>
      <w:r>
        <w:rPr>
          <w:rStyle w:val="21"/>
          <w:sz w:val="20"/>
          <w:szCs w:val="20"/>
        </w:rPr>
        <w:t>Publication des résultats d’attribution du marché et recours</w:t>
      </w:r>
      <w:r>
        <w:rPr>
          <w:sz w:val="20"/>
          <w:szCs w:val="20"/>
        </w:rPr>
        <w:tab/>
      </w:r>
      <w:r>
        <w:rPr>
          <w:sz w:val="20"/>
          <w:szCs w:val="20"/>
        </w:rPr>
        <w:fldChar w:fldCharType="begin"/>
      </w:r>
      <w:r>
        <w:rPr>
          <w:sz w:val="20"/>
          <w:szCs w:val="20"/>
        </w:rPr>
        <w:instrText xml:space="preserve"> PAGEREF _Toc163062734 \h </w:instrText>
      </w:r>
      <w:r>
        <w:rPr>
          <w:sz w:val="20"/>
          <w:szCs w:val="20"/>
        </w:rPr>
        <w:fldChar w:fldCharType="separate"/>
      </w:r>
      <w:r>
        <w:rPr>
          <w:sz w:val="20"/>
          <w:szCs w:val="20"/>
        </w:rPr>
        <w:t>53</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"_Toc163062735" </w:instrText>
      </w:r>
      <w:r>
        <w:fldChar w:fldCharType="separate"/>
      </w:r>
      <w:r>
        <w:rPr>
          <w:rStyle w:val="21"/>
          <w:sz w:val="20"/>
          <w:szCs w:val="20"/>
        </w:rPr>
        <w:t>Article 38.</w:t>
      </w:r>
      <w:r>
        <w:rPr>
          <w:rFonts w:eastAsiaTheme="minorEastAsia"/>
          <w:sz w:val="20"/>
          <w:szCs w:val="20"/>
        </w:rPr>
        <w:tab/>
      </w:r>
      <w:r>
        <w:rPr>
          <w:rStyle w:val="21"/>
          <w:sz w:val="20"/>
          <w:szCs w:val="20"/>
        </w:rPr>
        <w:t>Signature du marché</w:t>
      </w:r>
      <w:r>
        <w:rPr>
          <w:sz w:val="20"/>
          <w:szCs w:val="20"/>
        </w:rPr>
        <w:tab/>
      </w:r>
      <w:r>
        <w:rPr>
          <w:sz w:val="20"/>
          <w:szCs w:val="20"/>
        </w:rPr>
        <w:fldChar w:fldCharType="begin"/>
      </w:r>
      <w:r>
        <w:rPr>
          <w:sz w:val="20"/>
          <w:szCs w:val="20"/>
        </w:rPr>
        <w:instrText xml:space="preserve"> PAGEREF _Toc163062735 \h </w:instrText>
      </w:r>
      <w:r>
        <w:rPr>
          <w:sz w:val="20"/>
          <w:szCs w:val="20"/>
        </w:rPr>
        <w:fldChar w:fldCharType="separate"/>
      </w:r>
      <w:r>
        <w:rPr>
          <w:sz w:val="20"/>
          <w:szCs w:val="20"/>
        </w:rPr>
        <w:t>54</w:t>
      </w:r>
      <w:r>
        <w:rPr>
          <w:sz w:val="20"/>
          <w:szCs w:val="20"/>
        </w:rPr>
        <w:fldChar w:fldCharType="end"/>
      </w:r>
      <w:r>
        <w:rPr>
          <w:sz w:val="20"/>
          <w:szCs w:val="20"/>
        </w:rPr>
        <w:fldChar w:fldCharType="end"/>
      </w:r>
    </w:p>
    <w:p>
      <w:pPr>
        <w:pStyle w:val="17"/>
        <w:rPr>
          <w:rFonts w:eastAsiaTheme="minorEastAsia"/>
          <w:sz w:val="20"/>
          <w:szCs w:val="20"/>
        </w:rPr>
      </w:pPr>
      <w:r>
        <w:fldChar w:fldCharType="begin"/>
      </w:r>
      <w:r>
        <w:instrText xml:space="preserve"> HYPERLINK \l "_Toc163062736" </w:instrText>
      </w:r>
      <w:r>
        <w:fldChar w:fldCharType="separate"/>
      </w:r>
      <w:r>
        <w:rPr>
          <w:rStyle w:val="21"/>
          <w:sz w:val="20"/>
          <w:szCs w:val="20"/>
        </w:rPr>
        <w:t>Article 39.</w:t>
      </w:r>
      <w:r>
        <w:rPr>
          <w:rFonts w:eastAsiaTheme="minorEastAsia"/>
          <w:sz w:val="20"/>
          <w:szCs w:val="20"/>
        </w:rPr>
        <w:tab/>
      </w:r>
      <w:r>
        <w:rPr>
          <w:rStyle w:val="21"/>
          <w:sz w:val="20"/>
          <w:szCs w:val="20"/>
        </w:rPr>
        <w:t>Cautionnement définitif</w:t>
      </w:r>
      <w:r>
        <w:rPr>
          <w:sz w:val="20"/>
          <w:szCs w:val="20"/>
        </w:rPr>
        <w:tab/>
      </w:r>
      <w:r>
        <w:rPr>
          <w:sz w:val="20"/>
          <w:szCs w:val="20"/>
        </w:rPr>
        <w:fldChar w:fldCharType="begin"/>
      </w:r>
      <w:r>
        <w:rPr>
          <w:sz w:val="20"/>
          <w:szCs w:val="20"/>
        </w:rPr>
        <w:instrText xml:space="preserve"> PAGEREF _Toc163062736 \h </w:instrText>
      </w:r>
      <w:r>
        <w:rPr>
          <w:sz w:val="20"/>
          <w:szCs w:val="20"/>
        </w:rPr>
        <w:fldChar w:fldCharType="separate"/>
      </w:r>
      <w:r>
        <w:rPr>
          <w:sz w:val="20"/>
          <w:szCs w:val="20"/>
        </w:rPr>
        <w:t>55</w:t>
      </w:r>
      <w:r>
        <w:rPr>
          <w:sz w:val="20"/>
          <w:szCs w:val="20"/>
        </w:rPr>
        <w:fldChar w:fldCharType="end"/>
      </w:r>
      <w:r>
        <w:rPr>
          <w:sz w:val="20"/>
          <w:szCs w:val="20"/>
        </w:rPr>
        <w:fldChar w:fldCharType="end"/>
      </w:r>
    </w:p>
    <w:p>
      <w:pPr>
        <w:widowControl w:val="0"/>
        <w:tabs>
          <w:tab w:val="left" w:pos="10460"/>
        </w:tabs>
        <w:autoSpaceDE w:val="0"/>
        <w:spacing w:line="360" w:lineRule="auto"/>
        <w:jc w:val="both"/>
        <w:rPr>
          <w:rFonts w:ascii="Arial" w:hAnsi="Arial" w:cs="Arial"/>
          <w:sz w:val="20"/>
          <w:szCs w:val="20"/>
        </w:rPr>
      </w:pPr>
      <w:r>
        <w:rPr>
          <w:rFonts w:ascii="Arial" w:hAnsi="Arial" w:cs="Arial"/>
          <w:sz w:val="20"/>
          <w:szCs w:val="20"/>
        </w:rPr>
        <w:fldChar w:fldCharType="end"/>
      </w:r>
    </w:p>
    <w:p>
      <w:pPr>
        <w:pStyle w:val="3"/>
        <w:rPr>
          <w:b/>
          <w:sz w:val="32"/>
          <w:szCs w:val="32"/>
        </w:rPr>
      </w:pPr>
    </w:p>
    <w:p>
      <w:pPr>
        <w:pStyle w:val="3"/>
        <w:rPr>
          <w:b/>
          <w:sz w:val="32"/>
          <w:szCs w:val="32"/>
        </w:rPr>
      </w:pPr>
    </w:p>
    <w:p>
      <w:pPr>
        <w:pStyle w:val="3"/>
        <w:rPr>
          <w:b/>
          <w:sz w:val="32"/>
          <w:szCs w:val="32"/>
        </w:rPr>
      </w:pPr>
    </w:p>
    <w:p>
      <w:pPr>
        <w:pStyle w:val="3"/>
        <w:rPr>
          <w:b/>
          <w:sz w:val="32"/>
          <w:szCs w:val="32"/>
        </w:rPr>
      </w:pPr>
    </w:p>
    <w:p>
      <w:pPr>
        <w:pStyle w:val="3"/>
        <w:rPr>
          <w:b/>
          <w:sz w:val="32"/>
          <w:szCs w:val="32"/>
        </w:rPr>
      </w:pPr>
    </w:p>
    <w:p>
      <w:pPr>
        <w:pStyle w:val="3"/>
        <w:rPr>
          <w:b/>
          <w:sz w:val="32"/>
          <w:szCs w:val="32"/>
        </w:rPr>
      </w:pPr>
    </w:p>
    <w:p>
      <w:pPr>
        <w:pStyle w:val="3"/>
        <w:rPr>
          <w:b/>
          <w:sz w:val="32"/>
          <w:szCs w:val="32"/>
        </w:rPr>
      </w:pPr>
    </w:p>
    <w:p>
      <w:pPr>
        <w:pStyle w:val="3"/>
        <w:rPr>
          <w:b/>
          <w:sz w:val="32"/>
          <w:szCs w:val="32"/>
        </w:rPr>
      </w:pPr>
    </w:p>
    <w:p>
      <w:pPr>
        <w:pStyle w:val="3"/>
        <w:rPr>
          <w:b/>
          <w:sz w:val="32"/>
          <w:szCs w:val="32"/>
        </w:rPr>
      </w:pPr>
    </w:p>
    <w:p>
      <w:pPr>
        <w:pStyle w:val="3"/>
        <w:widowControl w:val="0"/>
        <w:spacing w:line="360" w:lineRule="auto"/>
        <w:jc w:val="center"/>
        <w:rPr>
          <w:b/>
          <w:smallCaps/>
          <w:color w:val="000000"/>
          <w:sz w:val="22"/>
          <w:szCs w:val="22"/>
        </w:rPr>
      </w:pPr>
    </w:p>
    <w:p>
      <w:pPr>
        <w:pStyle w:val="3"/>
        <w:widowControl w:val="0"/>
        <w:spacing w:line="360" w:lineRule="auto"/>
        <w:jc w:val="center"/>
        <w:rPr>
          <w:b/>
          <w:smallCaps/>
          <w:color w:val="000000"/>
          <w:sz w:val="22"/>
          <w:szCs w:val="22"/>
        </w:rPr>
      </w:pPr>
      <w:r>
        <w:rPr>
          <w:b/>
          <w:smallCaps/>
          <w:color w:val="000000"/>
          <w:sz w:val="22"/>
          <w:szCs w:val="22"/>
        </w:rPr>
        <w:t xml:space="preserve">RÈGLEMENT GÉNÉRAL DE </w:t>
      </w:r>
      <w:r>
        <w:rPr>
          <w:b/>
          <w:smallCaps/>
          <w:color w:val="000000"/>
          <w:sz w:val="22"/>
          <w:szCs w:val="22"/>
        </w:rPr>
        <w:t>L'APPEL D'OFFRES</w:t>
      </w:r>
    </w:p>
    <w:p>
      <w:pPr>
        <w:pStyle w:val="3"/>
        <w:keepNext/>
        <w:numPr>
          <w:ilvl w:val="0"/>
          <w:numId w:val="12"/>
        </w:numPr>
        <w:ind w:left="714" w:hanging="357"/>
        <w:jc w:val="center"/>
        <w:rPr>
          <w:smallCaps/>
          <w:color w:val="000000"/>
          <w:sz w:val="32"/>
          <w:szCs w:val="32"/>
        </w:rPr>
      </w:pPr>
      <w:bookmarkStart w:id="13" w:name="1x0gk37" w:colFirst="0" w:colLast="0"/>
      <w:bookmarkEnd w:id="13"/>
      <w:bookmarkStart w:id="14" w:name="_3hv69ve" w:colFirst="0" w:colLast="0"/>
      <w:bookmarkEnd w:id="14"/>
      <w:r>
        <w:rPr>
          <w:smallCaps/>
          <w:color w:val="000000"/>
          <w:sz w:val="32"/>
          <w:szCs w:val="32"/>
        </w:rPr>
        <w:t>GÉNÉRALITÉS</w:t>
      </w:r>
    </w:p>
    <w:p>
      <w:pPr>
        <w:pStyle w:val="3"/>
        <w:keepNext/>
        <w:numPr>
          <w:ilvl w:val="0"/>
          <w:numId w:val="13"/>
        </w:numPr>
        <w:spacing w:before="120" w:after="120"/>
        <w:ind w:left="1418" w:hanging="1418"/>
        <w:jc w:val="both"/>
        <w:rPr>
          <w:color w:val="000000"/>
        </w:rPr>
      </w:pPr>
      <w:bookmarkStart w:id="15" w:name="_4h042r0" w:colFirst="0" w:colLast="0"/>
      <w:bookmarkEnd w:id="15"/>
      <w:r>
        <w:rPr>
          <w:color w:val="000000"/>
          <w:sz w:val="28"/>
          <w:szCs w:val="28"/>
        </w:rPr>
        <w:t xml:space="preserve">Objet de la consultation </w:t>
      </w:r>
    </w:p>
    <w:p>
      <w:pPr>
        <w:pStyle w:val="3"/>
        <w:widowControl w:val="0"/>
        <w:numPr>
          <w:ilvl w:val="1"/>
          <w:numId w:val="14"/>
        </w:numPr>
        <w:tabs>
          <w:tab w:val="left" w:pos="709"/>
          <w:tab w:val="left" w:pos="2780"/>
          <w:tab w:val="left" w:pos="4040"/>
          <w:tab w:val="left" w:pos="4460"/>
        </w:tabs>
        <w:spacing w:after="60" w:line="360" w:lineRule="auto"/>
        <w:ind w:left="0" w:firstLine="0"/>
        <w:jc w:val="both"/>
        <w:rPr>
          <w:b/>
          <w:i/>
          <w:smallCaps/>
        </w:rPr>
      </w:pPr>
      <w: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pPr>
        <w:pStyle w:val="3"/>
        <w:widowControl w:val="0"/>
        <w:spacing w:after="60" w:line="360" w:lineRule="auto"/>
        <w:jc w:val="both"/>
        <w:rPr>
          <w:b/>
          <w:i/>
          <w:smallCaps/>
        </w:rPr>
      </w:pPr>
      <w:r>
        <w:t>Le nom, le numéro d’identification et le nombre de lots faisant l’objet de l’Appel d’Offres figurent dans le RPAO.</w:t>
      </w:r>
    </w:p>
    <w:p>
      <w:pPr>
        <w:pStyle w:val="3"/>
        <w:widowControl w:val="0"/>
        <w:numPr>
          <w:ilvl w:val="1"/>
          <w:numId w:val="14"/>
        </w:numPr>
        <w:spacing w:after="60" w:line="360" w:lineRule="auto"/>
        <w:ind w:left="0" w:firstLine="0"/>
        <w:jc w:val="both"/>
        <w:rPr>
          <w:b/>
          <w:i/>
          <w:smallCaps/>
        </w:rPr>
      </w:pPr>
      <w:r>
        <w:t>Le Soumissionnaire retenu, ou attributaire, doit achever les travaux dans le délai prévisionnel indiqué dans le RPAO, et qui court sauf stipulation contraire du CCAP, à compter de la date de notification de l’ordre de service de commencer les travaux.</w:t>
      </w:r>
    </w:p>
    <w:p>
      <w:pPr>
        <w:pStyle w:val="3"/>
        <w:widowControl w:val="0"/>
        <w:numPr>
          <w:ilvl w:val="1"/>
          <w:numId w:val="14"/>
        </w:numPr>
        <w:spacing w:after="60" w:line="360" w:lineRule="auto"/>
        <w:ind w:left="0" w:firstLine="0"/>
        <w:jc w:val="both"/>
        <w:rPr>
          <w:b/>
          <w:i/>
          <w:smallCaps/>
        </w:rPr>
      </w:pPr>
      <w:r>
        <w:t xml:space="preserve">Dans le présent Dossier d’Appel d’Offres, le terme </w:t>
      </w:r>
      <w:r>
        <w:rPr>
          <w:b/>
        </w:rPr>
        <w:t>“jour”</w:t>
      </w:r>
      <w:r>
        <w:t xml:space="preserve"> désigne un jour ouvrable, à l’exception des jours calendaires expressément spécifiés dans le Code des Marchés Publics.</w:t>
      </w:r>
    </w:p>
    <w:p>
      <w:pPr>
        <w:pStyle w:val="3"/>
        <w:keepNext/>
        <w:numPr>
          <w:ilvl w:val="0"/>
          <w:numId w:val="13"/>
        </w:numPr>
        <w:spacing w:before="120" w:after="120"/>
        <w:ind w:left="1418" w:hanging="1418"/>
        <w:jc w:val="both"/>
        <w:rPr>
          <w:color w:val="000000"/>
        </w:rPr>
      </w:pPr>
      <w:bookmarkStart w:id="16" w:name="_2w5ecyt" w:colFirst="0" w:colLast="0"/>
      <w:bookmarkEnd w:id="16"/>
      <w:r>
        <w:rPr>
          <w:color w:val="000000"/>
          <w:sz w:val="28"/>
          <w:szCs w:val="28"/>
        </w:rPr>
        <w:t>Financement</w:t>
      </w:r>
    </w:p>
    <w:p>
      <w:pPr>
        <w:pStyle w:val="3"/>
        <w:widowControl w:val="0"/>
        <w:spacing w:after="60" w:line="360" w:lineRule="auto"/>
        <w:jc w:val="both"/>
        <w:rPr>
          <w:b/>
          <w:i/>
          <w:smallCaps/>
        </w:rPr>
      </w:pPr>
      <w:r>
        <w:t>La source de financement des travaux, objet du présent Appel d’Offres est précisé dans le RPAO.</w:t>
      </w:r>
    </w:p>
    <w:p>
      <w:pPr>
        <w:pStyle w:val="3"/>
        <w:keepNext/>
        <w:numPr>
          <w:ilvl w:val="0"/>
          <w:numId w:val="13"/>
        </w:numPr>
        <w:spacing w:before="120" w:after="120"/>
        <w:ind w:left="1418" w:hanging="1418"/>
        <w:jc w:val="both"/>
        <w:rPr>
          <w:color w:val="000000"/>
        </w:rPr>
      </w:pPr>
      <w:bookmarkStart w:id="17" w:name="_1baon6m" w:colFirst="0" w:colLast="0"/>
      <w:bookmarkEnd w:id="17"/>
      <w:r>
        <w:rPr>
          <w:color w:val="000000"/>
          <w:sz w:val="28"/>
          <w:szCs w:val="28"/>
        </w:rPr>
        <w:t>Principes éthiques</w:t>
      </w:r>
    </w:p>
    <w:p>
      <w:pPr>
        <w:pStyle w:val="3"/>
        <w:widowControl w:val="0"/>
        <w:spacing w:after="60" w:line="360" w:lineRule="auto"/>
        <w:jc w:val="both"/>
        <w:rPr>
          <w:b/>
          <w:i/>
          <w:smallCaps/>
        </w:rPr>
      </w:pPr>
      <w: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pPr>
        <w:pStyle w:val="3"/>
        <w:widowControl w:val="0"/>
        <w:spacing w:after="60" w:line="360" w:lineRule="auto"/>
        <w:jc w:val="both"/>
        <w:rPr>
          <w:b/>
          <w:i/>
          <w:smallCaps/>
        </w:rPr>
      </w:pPr>
      <w:r>
        <w:t>A cet égard, ils souscrivent la charte d’intégrité dont le modèle est joint en annexe du présent Dossier d’Appel d’Offres (pièce 10).</w:t>
      </w:r>
    </w:p>
    <w:p>
      <w:pPr>
        <w:pStyle w:val="3"/>
        <w:widowControl w:val="0"/>
        <w:spacing w:after="60" w:line="360" w:lineRule="auto"/>
        <w:jc w:val="both"/>
        <w:rPr>
          <w:b/>
          <w:i/>
          <w:smallCaps/>
        </w:rPr>
      </w:pPr>
      <w:r>
        <w:t>En vertu de ces principes, le Maître d’ouvrage ou le Maître d’Ouvrage Délégué :</w:t>
      </w:r>
    </w:p>
    <w:p>
      <w:pPr>
        <w:pStyle w:val="3"/>
        <w:widowControl w:val="0"/>
        <w:spacing w:after="60" w:line="360" w:lineRule="auto"/>
        <w:jc w:val="both"/>
        <w:rPr>
          <w:i/>
          <w:sz w:val="20"/>
          <w:szCs w:val="20"/>
        </w:rPr>
      </w:pPr>
      <w:r>
        <w:t>a. défini, aux fins de cette clause, les expressions de la manière suivante :</w:t>
      </w:r>
    </w:p>
    <w:p>
      <w:pPr>
        <w:pStyle w:val="3"/>
        <w:widowControl w:val="0"/>
        <w:tabs>
          <w:tab w:val="left" w:pos="500"/>
        </w:tabs>
        <w:spacing w:after="60" w:line="360" w:lineRule="auto"/>
        <w:ind w:left="851" w:hanging="284"/>
        <w:jc w:val="both"/>
        <w:rPr>
          <w:b/>
          <w:i/>
          <w:smallCaps/>
        </w:rPr>
      </w:pPr>
      <w:r>
        <w:t>i. Est convaincu d’acte de "corruption" quiconque offre, donne, sollicite ou accepte un quelconque avantage en vue d'influencer l’action d’un agent public au cours de l’attribution ou de l'exécution d’un marché ;</w:t>
      </w:r>
    </w:p>
    <w:p>
      <w:pPr>
        <w:pStyle w:val="3"/>
        <w:widowControl w:val="0"/>
        <w:tabs>
          <w:tab w:val="left" w:pos="500"/>
        </w:tabs>
        <w:spacing w:after="60" w:line="360" w:lineRule="auto"/>
        <w:ind w:left="851" w:hanging="284"/>
        <w:jc w:val="both"/>
        <w:rPr>
          <w:b/>
          <w:i/>
          <w:smallCaps/>
        </w:rPr>
      </w:pPr>
      <w:r>
        <w:t>ii. Se  livre  à  des  "manœuvres  frauduleuses "  quiconque  déforme  ou dénature des faits afin d'influencer  l'attribution  ou l'exécution  d'un marché ;</w:t>
      </w:r>
    </w:p>
    <w:p>
      <w:pPr>
        <w:pStyle w:val="3"/>
        <w:widowControl w:val="0"/>
        <w:tabs>
          <w:tab w:val="left" w:pos="500"/>
        </w:tabs>
        <w:spacing w:after="60" w:line="360" w:lineRule="auto"/>
        <w:ind w:left="851" w:hanging="284"/>
        <w:jc w:val="both"/>
        <w:rPr>
          <w:b/>
          <w:i/>
          <w:smallCaps/>
        </w:rPr>
      </w:pPr>
      <w:r>
        <w:t>iii. Sont convaincus de « pratiques collusoires » deux ou plusieurs soumissionnaires, qui s'entendent dans le but de maintenir artificiellement les prix des offres à des niveaux ne correspondant pas à ceux, qui résulteraient du jeu de la concurrence ;</w:t>
      </w:r>
    </w:p>
    <w:p>
      <w:pPr>
        <w:pStyle w:val="3"/>
        <w:widowControl w:val="0"/>
        <w:spacing w:after="60" w:line="360" w:lineRule="auto"/>
        <w:ind w:left="851" w:hanging="284"/>
        <w:jc w:val="both"/>
        <w:rPr>
          <w:b/>
          <w:i/>
          <w:smallCaps/>
        </w:rPr>
      </w:pPr>
      <w:r>
        <w:t>iv. Se livre à des « pratiques coercitives », quiconque porte atteinte aux personnes ou à leurs biens ou profère des menaces à leur encontre de manière directe ou indirecte, afin d'influencer leurs actions au cours de l'attribution ou de l'exécution d'un marché ;</w:t>
      </w:r>
    </w:p>
    <w:p>
      <w:pPr>
        <w:pStyle w:val="3"/>
        <w:widowControl w:val="0"/>
        <w:spacing w:after="60" w:line="360" w:lineRule="auto"/>
        <w:ind w:left="851" w:hanging="284"/>
        <w:jc w:val="both"/>
        <w:rPr>
          <w:b/>
          <w:i/>
          <w:smallCaps/>
        </w:rPr>
      </w:pPr>
      <w: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pPr>
        <w:pStyle w:val="3"/>
        <w:widowControl w:val="0"/>
        <w:spacing w:after="60" w:line="360" w:lineRule="auto"/>
        <w:ind w:left="851" w:hanging="284"/>
        <w:jc w:val="both"/>
        <w:rPr>
          <w:b/>
          <w:i/>
          <w:smallCaps/>
        </w:rPr>
      </w:pPr>
      <w:r>
        <w:t>vii. La complicité s’entend de :</w:t>
      </w:r>
    </w:p>
    <w:p>
      <w:pPr>
        <w:pStyle w:val="3"/>
        <w:widowControl w:val="0"/>
        <w:numPr>
          <w:ilvl w:val="0"/>
          <w:numId w:val="15"/>
        </w:numPr>
        <w:spacing w:after="60" w:line="360" w:lineRule="auto"/>
        <w:jc w:val="both"/>
      </w:pPr>
      <w:r>
        <w:rPr>
          <w:color w:val="000000"/>
        </w:rPr>
        <w:t>L’omission ou la négligence d’effectuer les contrôles ou de donner les avis techniques prescrits ;</w:t>
      </w:r>
    </w:p>
    <w:p>
      <w:pPr>
        <w:pStyle w:val="3"/>
        <w:widowControl w:val="0"/>
        <w:numPr>
          <w:ilvl w:val="0"/>
          <w:numId w:val="15"/>
        </w:numPr>
        <w:spacing w:after="60" w:line="360" w:lineRule="auto"/>
        <w:jc w:val="both"/>
      </w:pPr>
      <w:r>
        <w:rPr>
          <w:color w:val="000000"/>
        </w:rPr>
        <w:t>L’abstention volontaire de porter à la connaissance du Maître d’Ouvrage ou de l’autorité compétente, les irrégularités constatées lors de la réalisation de ses missions.</w:t>
      </w:r>
    </w:p>
    <w:p>
      <w:pPr>
        <w:pStyle w:val="3"/>
        <w:widowControl w:val="0"/>
        <w:spacing w:after="60" w:line="360" w:lineRule="auto"/>
        <w:ind w:left="709" w:hanging="142"/>
        <w:jc w:val="both"/>
        <w:rPr>
          <w:b/>
          <w:i/>
          <w:smallCaps/>
        </w:rPr>
      </w:pPr>
      <w: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pPr>
        <w:pStyle w:val="3"/>
        <w:widowControl w:val="0"/>
        <w:spacing w:after="60" w:line="360" w:lineRule="auto"/>
        <w:jc w:val="both"/>
        <w:rPr>
          <w:b/>
          <w:i/>
          <w:smallCaps/>
        </w:rPr>
      </w:pPr>
      <w: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pPr>
        <w:pStyle w:val="3"/>
        <w:widowControl w:val="0"/>
        <w:tabs>
          <w:tab w:val="left" w:pos="1120"/>
          <w:tab w:val="left" w:pos="2700"/>
          <w:tab w:val="left" w:pos="3440"/>
          <w:tab w:val="left" w:pos="3860"/>
        </w:tabs>
        <w:spacing w:after="60" w:line="360" w:lineRule="auto"/>
        <w:jc w:val="both"/>
        <w:rPr>
          <w:b/>
          <w:i/>
          <w:smallCaps/>
        </w:rPr>
      </w:pPr>
      <w: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pPr>
        <w:pStyle w:val="3"/>
        <w:widowControl w:val="0"/>
        <w:spacing w:after="60" w:line="360" w:lineRule="auto"/>
        <w:jc w:val="both"/>
        <w:rPr>
          <w:b/>
          <w:i/>
          <w:smallCaps/>
        </w:rPr>
      </w:pPr>
      <w: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pPr>
        <w:pStyle w:val="3"/>
        <w:keepNext/>
        <w:numPr>
          <w:ilvl w:val="0"/>
          <w:numId w:val="13"/>
        </w:numPr>
        <w:spacing w:before="120" w:after="120"/>
        <w:ind w:left="1418" w:hanging="1418"/>
        <w:jc w:val="both"/>
        <w:rPr>
          <w:color w:val="000000"/>
        </w:rPr>
      </w:pPr>
      <w:bookmarkStart w:id="18" w:name="_3vac5uf" w:colFirst="0" w:colLast="0"/>
      <w:bookmarkEnd w:id="18"/>
      <w:r>
        <w:rPr>
          <w:color w:val="000000"/>
          <w:sz w:val="28"/>
          <w:szCs w:val="28"/>
        </w:rPr>
        <w:t>Candidats admis à concourir</w:t>
      </w:r>
    </w:p>
    <w:p>
      <w:pPr>
        <w:pStyle w:val="3"/>
        <w:widowControl w:val="0"/>
        <w:spacing w:after="60" w:line="360" w:lineRule="auto"/>
        <w:jc w:val="both"/>
        <w:rPr>
          <w:b/>
          <w:i/>
          <w:smallCaps/>
        </w:rPr>
      </w:pPr>
      <w:r>
        <w:t xml:space="preserve">4.1. En dehors de </w:t>
      </w:r>
      <w:r>
        <w:rPr>
          <w:b/>
        </w:rPr>
        <w:t>l’Appel d’Offres Restreint, qui s’adresse à tous les candidats retenus à l’issue de la procédure de préqualification</w:t>
      </w:r>
      <w: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pPr>
        <w:pStyle w:val="3"/>
        <w:widowControl w:val="0"/>
        <w:spacing w:after="60" w:line="360" w:lineRule="auto"/>
        <w:jc w:val="both"/>
        <w:rPr>
          <w:b/>
          <w:i/>
          <w:smallCaps/>
        </w:rPr>
      </w:pPr>
      <w:r>
        <w:t>a. Un soumissionnaire (y compris tous les membres d’un groupement d’entreprises et tous les sous-traitants du soumissionnaire) doit être d’un pays éligible, conformément à la convention de financement, le cas échéant ;</w:t>
      </w:r>
    </w:p>
    <w:p>
      <w:pPr>
        <w:pStyle w:val="3"/>
        <w:widowControl w:val="0"/>
        <w:spacing w:after="60" w:line="360" w:lineRule="auto"/>
        <w:jc w:val="both"/>
        <w:rPr>
          <w:b/>
          <w:i/>
          <w:smallCaps/>
        </w:rPr>
      </w:pPr>
      <w: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pPr>
        <w:pStyle w:val="3"/>
        <w:widowControl w:val="0"/>
        <w:numPr>
          <w:ilvl w:val="2"/>
          <w:numId w:val="16"/>
        </w:numPr>
        <w:tabs>
          <w:tab w:val="left" w:pos="567"/>
        </w:tabs>
        <w:spacing w:after="60" w:line="360" w:lineRule="auto"/>
        <w:ind w:left="567" w:right="-134" w:hanging="283"/>
        <w:jc w:val="both"/>
        <w:rPr>
          <w:b/>
          <w:i/>
          <w:smallCaps/>
        </w:rPr>
      </w:pPr>
      <w: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pPr>
        <w:pStyle w:val="3"/>
        <w:widowControl w:val="0"/>
        <w:numPr>
          <w:ilvl w:val="2"/>
          <w:numId w:val="16"/>
        </w:numPr>
        <w:tabs>
          <w:tab w:val="left" w:pos="567"/>
        </w:tabs>
        <w:spacing w:after="60" w:line="360" w:lineRule="auto"/>
        <w:ind w:left="567" w:right="-134" w:hanging="283"/>
        <w:jc w:val="both"/>
        <w:rPr>
          <w:b/>
          <w:i/>
          <w:smallCaps/>
        </w:rPr>
      </w:pPr>
      <w:r>
        <w:t xml:space="preserve">est dans le cadre d’un même Appel d’Offres, représentant légal d’un autre soumissionnaire ; </w:t>
      </w:r>
    </w:p>
    <w:p>
      <w:pPr>
        <w:pStyle w:val="3"/>
        <w:widowControl w:val="0"/>
        <w:numPr>
          <w:ilvl w:val="2"/>
          <w:numId w:val="16"/>
        </w:numPr>
        <w:tabs>
          <w:tab w:val="left" w:pos="567"/>
        </w:tabs>
        <w:spacing w:after="60" w:line="360" w:lineRule="auto"/>
        <w:ind w:left="567" w:right="-134" w:hanging="283"/>
        <w:jc w:val="both"/>
        <w:rPr>
          <w:b/>
          <w:i/>
          <w:smallCaps/>
        </w:rPr>
      </w:pPr>
      <w: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pPr>
        <w:pStyle w:val="3"/>
        <w:widowControl w:val="0"/>
        <w:numPr>
          <w:ilvl w:val="2"/>
          <w:numId w:val="16"/>
        </w:numPr>
        <w:tabs>
          <w:tab w:val="left" w:pos="567"/>
        </w:tabs>
        <w:spacing w:after="60" w:line="360" w:lineRule="auto"/>
        <w:ind w:left="567" w:right="-134" w:hanging="283"/>
        <w:jc w:val="both"/>
        <w:rPr>
          <w:b/>
          <w:i/>
          <w:smallCaps/>
        </w:rPr>
      </w:pPr>
      <w:r>
        <w:t>Est affilié à un groupe ou entité que, le Maître d’Ouvrage ou le Maître d’Ouvrage Délégué a recruté ou envisage de recruter pour participer au contrôle ;</w:t>
      </w:r>
    </w:p>
    <w:p>
      <w:pPr>
        <w:pStyle w:val="3"/>
        <w:widowControl w:val="0"/>
        <w:numPr>
          <w:ilvl w:val="2"/>
          <w:numId w:val="16"/>
        </w:numPr>
        <w:tabs>
          <w:tab w:val="left" w:pos="567"/>
        </w:tabs>
        <w:spacing w:after="60" w:line="360" w:lineRule="auto"/>
        <w:ind w:left="567" w:right="-134" w:hanging="283"/>
        <w:jc w:val="both"/>
        <w:rPr>
          <w:b/>
          <w:i/>
          <w:smallCaps/>
        </w:rPr>
      </w:pPr>
      <w:r>
        <w:t xml:space="preserve">Le Maître d’Ouvrage ou le Maître d’Ouvrage Délégué participe au capital du soumissionnaire de nature à compromettre la transparence des procédures de passation des marchés publics ; </w:t>
      </w:r>
    </w:p>
    <w:p>
      <w:pPr>
        <w:pStyle w:val="3"/>
        <w:widowControl w:val="0"/>
        <w:spacing w:after="60" w:line="360" w:lineRule="auto"/>
        <w:jc w:val="both"/>
        <w:rPr>
          <w:b/>
          <w:i/>
          <w:smallCaps/>
        </w:rPr>
      </w:pPr>
      <w: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pPr>
        <w:pStyle w:val="3"/>
        <w:widowControl w:val="0"/>
        <w:spacing w:after="60" w:line="360" w:lineRule="auto"/>
        <w:jc w:val="both"/>
        <w:rPr>
          <w:b/>
          <w:i/>
          <w:smallCaps/>
        </w:rPr>
      </w:pPr>
      <w: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pPr>
        <w:pStyle w:val="3"/>
        <w:widowControl w:val="0"/>
        <w:spacing w:after="60" w:line="360" w:lineRule="auto"/>
        <w:jc w:val="both"/>
        <w:rPr>
          <w:b/>
          <w:i/>
          <w:smallCaps/>
        </w:rPr>
      </w:pPr>
      <w:r>
        <w:t>4.2. L’Appel d’Offres est Ouvert ou Restreint selon les spécifications du RPAO à tous les candidats, qui remplissent les conditions ci-après :</w:t>
      </w:r>
    </w:p>
    <w:p>
      <w:pPr>
        <w:pStyle w:val="3"/>
        <w:spacing w:after="60" w:line="360" w:lineRule="auto"/>
        <w:rPr>
          <w:color w:val="000000"/>
        </w:rPr>
      </w:pPr>
      <w:r>
        <w:rPr>
          <w:color w:val="000000"/>
        </w:rPr>
        <w:t>a. ne pas être en état de liquidation judiciaire ou en faillite ;</w:t>
      </w:r>
    </w:p>
    <w:p>
      <w:pPr>
        <w:pStyle w:val="3"/>
        <w:spacing w:after="60" w:line="360" w:lineRule="auto"/>
        <w:jc w:val="both"/>
        <w:rPr>
          <w:color w:val="000000"/>
        </w:rPr>
      </w:pPr>
      <w:r>
        <w:rPr>
          <w:color w:val="000000"/>
        </w:rPr>
        <w:t>b. ne pas être frappé de l’une des interdictions ou d’échéances prévues par les lois et règlements en vigueur, aussi bien au plan national qu’international ;</w:t>
      </w:r>
    </w:p>
    <w:p>
      <w:pPr>
        <w:pStyle w:val="3"/>
        <w:spacing w:after="60" w:line="360" w:lineRule="auto"/>
        <w:rPr>
          <w:color w:val="000000"/>
        </w:rPr>
      </w:pPr>
      <w:r>
        <w:rPr>
          <w:color w:val="000000"/>
        </w:rPr>
        <w:t>c. souscrire aux déclarations prévues par les lois et règlements en vigueur.</w:t>
      </w:r>
    </w:p>
    <w:p>
      <w:pPr>
        <w:pStyle w:val="3"/>
        <w:widowControl w:val="0"/>
        <w:spacing w:after="60" w:line="360" w:lineRule="auto"/>
        <w:ind w:right="95"/>
        <w:jc w:val="both"/>
        <w:rPr>
          <w:b/>
          <w:i/>
          <w:smallCaps/>
        </w:rPr>
      </w:pPr>
      <w:r>
        <w:t>4.3. Pour soumissionner par voie électronique via COLEPS ou tout autre moyen de communication électronique indiqué par le Maitre d’Ouvrage, le candidat ou soumissionnaire doit être enregistré sur ladite plateforme et disposer d’un certificat électronique valide.</w:t>
      </w:r>
    </w:p>
    <w:p>
      <w:pPr>
        <w:pStyle w:val="3"/>
        <w:widowControl w:val="0"/>
        <w:spacing w:after="60" w:line="360" w:lineRule="auto"/>
        <w:ind w:right="-17"/>
        <w:jc w:val="both"/>
        <w:rPr>
          <w:b/>
          <w:i/>
          <w:smallCaps/>
        </w:rPr>
      </w:pPr>
      <w:bookmarkStart w:id="19" w:name="_2afmg28" w:colFirst="0" w:colLast="0"/>
      <w:bookmarkEnd w:id="19"/>
      <w: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pPr>
        <w:pStyle w:val="3"/>
        <w:keepNext/>
        <w:numPr>
          <w:ilvl w:val="0"/>
          <w:numId w:val="13"/>
        </w:numPr>
        <w:spacing w:before="120" w:after="120"/>
        <w:ind w:left="1418" w:hanging="1418"/>
        <w:jc w:val="both"/>
        <w:rPr>
          <w:color w:val="000000"/>
        </w:rPr>
      </w:pPr>
      <w:bookmarkStart w:id="20" w:name="_pkwqa1" w:colFirst="0" w:colLast="0"/>
      <w:bookmarkEnd w:id="20"/>
      <w:r>
        <w:rPr>
          <w:color w:val="000000"/>
          <w:sz w:val="28"/>
          <w:szCs w:val="28"/>
        </w:rPr>
        <w:t>Matériaux, matériels, fournitures, équipements et services autorisés</w:t>
      </w:r>
    </w:p>
    <w:p>
      <w:pPr>
        <w:pStyle w:val="3"/>
        <w:widowControl w:val="0"/>
        <w:spacing w:after="60" w:line="360" w:lineRule="auto"/>
        <w:jc w:val="both"/>
        <w:rPr>
          <w:b/>
          <w:i/>
          <w:smallCaps/>
        </w:rPr>
      </w:pPr>
      <w:r>
        <w:t xml:space="preserve">5.1. Les matériaux, les matériels de l’entrepreneur, les fournitures, équipements et services devant être fournis dans le cadre du Marché ne doivent pas provenir le cas échéant, de pays figurant dans la liste prévue dans le RPAO. </w:t>
      </w:r>
    </w:p>
    <w:p>
      <w:pPr>
        <w:pStyle w:val="3"/>
        <w:widowControl w:val="0"/>
        <w:spacing w:after="60" w:line="360" w:lineRule="auto"/>
        <w:jc w:val="both"/>
        <w:rPr>
          <w:b/>
          <w:i/>
          <w:smallCaps/>
        </w:rPr>
      </w:pPr>
      <w:r>
        <w:t>5.2. En vertu de l’article 5.1 ci-dessus, le terme “provenir” désigne le lieu où les biens et services poussent, sont extraits, cultivés, produits ou fabriqués, transformés, assemblés ou importés.</w:t>
      </w:r>
    </w:p>
    <w:p>
      <w:pPr>
        <w:pStyle w:val="3"/>
        <w:keepNext/>
        <w:numPr>
          <w:ilvl w:val="0"/>
          <w:numId w:val="13"/>
        </w:numPr>
        <w:spacing w:before="120" w:after="120"/>
        <w:ind w:left="1418" w:hanging="1418"/>
        <w:jc w:val="both"/>
        <w:rPr>
          <w:color w:val="000000"/>
        </w:rPr>
      </w:pPr>
      <w:bookmarkStart w:id="21" w:name="_39kk8xu" w:colFirst="0" w:colLast="0"/>
      <w:bookmarkEnd w:id="21"/>
      <w:r>
        <w:rPr>
          <w:color w:val="000000"/>
          <w:sz w:val="28"/>
          <w:szCs w:val="28"/>
        </w:rPr>
        <w:t>Documents établissant la qualification du Soumissionnaire</w:t>
      </w:r>
    </w:p>
    <w:p>
      <w:pPr>
        <w:pStyle w:val="3"/>
        <w:widowControl w:val="0"/>
        <w:spacing w:after="60" w:line="360" w:lineRule="auto"/>
        <w:jc w:val="both"/>
        <w:rPr>
          <w:b/>
          <w:i/>
          <w:smallCaps/>
        </w:rPr>
      </w:pPr>
      <w:r>
        <w:t>6.1. Les soumissionnaires doivent, comme partie intégrante de leur offre :</w:t>
      </w:r>
    </w:p>
    <w:p>
      <w:pPr>
        <w:pStyle w:val="3"/>
        <w:widowControl w:val="0"/>
        <w:spacing w:after="60" w:line="360" w:lineRule="auto"/>
        <w:jc w:val="both"/>
        <w:rPr>
          <w:b/>
          <w:i/>
          <w:smallCaps/>
        </w:rPr>
      </w:pPr>
      <w:r>
        <w:t>a. produire un pouvoir habilitant le signataire de la soumission à engager le soumissionnaire ;</w:t>
      </w:r>
    </w:p>
    <w:p>
      <w:pPr>
        <w:pStyle w:val="3"/>
        <w:widowControl w:val="0"/>
        <w:spacing w:after="60" w:line="360" w:lineRule="auto"/>
        <w:jc w:val="both"/>
        <w:rPr>
          <w:b/>
          <w:i/>
          <w:smallCaps/>
        </w:rPr>
      </w:pPr>
      <w: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pPr>
        <w:pStyle w:val="3"/>
        <w:widowControl w:val="0"/>
        <w:spacing w:after="60" w:line="360" w:lineRule="auto"/>
        <w:jc w:val="both"/>
        <w:rPr>
          <w:b/>
          <w:i/>
          <w:smallCaps/>
        </w:rPr>
      </w:pPr>
      <w:r>
        <w:t>Les informations relatives aux points suivants sont exigées le cas échéant :</w:t>
      </w:r>
    </w:p>
    <w:p>
      <w:pPr>
        <w:pStyle w:val="3"/>
        <w:widowControl w:val="0"/>
        <w:tabs>
          <w:tab w:val="left" w:pos="340"/>
        </w:tabs>
        <w:spacing w:after="60" w:line="360" w:lineRule="auto"/>
        <w:ind w:left="567" w:hanging="283"/>
        <w:jc w:val="both"/>
        <w:rPr>
          <w:b/>
          <w:i/>
          <w:smallCaps/>
        </w:rPr>
      </w:pPr>
      <w:r>
        <w:t>i.</w:t>
      </w:r>
      <w:r>
        <w:tab/>
      </w:r>
      <w:r>
        <w:t>La production de l’extrait des bilans faisant ressortir le chiffre d’affaires et les résultats ;</w:t>
      </w:r>
    </w:p>
    <w:p>
      <w:pPr>
        <w:pStyle w:val="3"/>
        <w:widowControl w:val="0"/>
        <w:spacing w:after="60" w:line="360" w:lineRule="auto"/>
        <w:ind w:left="567" w:hanging="283"/>
        <w:jc w:val="both"/>
        <w:rPr>
          <w:b/>
          <w:i/>
          <w:smallCaps/>
        </w:rPr>
      </w:pPr>
      <w:r>
        <w:t>ii. l’accès à une ligne de crédit ou d’autres ressources financières ;</w:t>
      </w:r>
    </w:p>
    <w:p>
      <w:pPr>
        <w:pStyle w:val="3"/>
        <w:widowControl w:val="0"/>
        <w:spacing w:after="60" w:line="360" w:lineRule="auto"/>
        <w:ind w:left="567" w:hanging="283"/>
        <w:jc w:val="both"/>
        <w:rPr>
          <w:b/>
          <w:i/>
          <w:smallCaps/>
        </w:rPr>
      </w:pPr>
      <w:r>
        <w:t xml:space="preserve">iii. Les marchés exécutés ; </w:t>
      </w:r>
    </w:p>
    <w:p>
      <w:pPr>
        <w:pStyle w:val="3"/>
        <w:widowControl w:val="0"/>
        <w:spacing w:after="60" w:line="360" w:lineRule="auto"/>
        <w:ind w:left="567" w:hanging="283"/>
        <w:jc w:val="both"/>
        <w:rPr>
          <w:b/>
          <w:i/>
          <w:smallCaps/>
        </w:rPr>
      </w:pPr>
      <w:r>
        <w:t xml:space="preserve">iv. la liste du personnel clé ; </w:t>
      </w:r>
    </w:p>
    <w:p>
      <w:pPr>
        <w:pStyle w:val="3"/>
        <w:widowControl w:val="0"/>
        <w:spacing w:after="60" w:line="360" w:lineRule="auto"/>
        <w:ind w:left="567" w:hanging="283"/>
        <w:jc w:val="both"/>
        <w:rPr>
          <w:b/>
          <w:i/>
          <w:smallCaps/>
        </w:rPr>
      </w:pPr>
      <w:r>
        <w:t>v. La disponibilité du matériel indispensable ;</w:t>
      </w:r>
    </w:p>
    <w:p>
      <w:pPr>
        <w:pStyle w:val="3"/>
        <w:widowControl w:val="0"/>
        <w:spacing w:after="60" w:line="360" w:lineRule="auto"/>
        <w:ind w:left="567" w:hanging="283"/>
        <w:jc w:val="both"/>
        <w:rPr>
          <w:b/>
          <w:i/>
          <w:smallCaps/>
        </w:rPr>
      </w:pPr>
      <w:r>
        <w:t>vi Le certificat de catégorisation pour les prestataires de BTP, le cas échéant.</w:t>
      </w:r>
    </w:p>
    <w:p>
      <w:pPr>
        <w:pStyle w:val="3"/>
        <w:widowControl w:val="0"/>
        <w:spacing w:after="60" w:line="360" w:lineRule="auto"/>
        <w:jc w:val="both"/>
        <w:rPr>
          <w:b/>
          <w:i/>
          <w:smallCaps/>
        </w:rPr>
      </w:pPr>
      <w:r>
        <w:t>6.2. Les soumissions présentées par deux ou plusieurs entrepreneurs groupés (co-traitance) doivent satisfaire aux conditions suivantes :</w:t>
      </w:r>
    </w:p>
    <w:p>
      <w:pPr>
        <w:pStyle w:val="3"/>
        <w:widowControl w:val="0"/>
        <w:tabs>
          <w:tab w:val="left" w:pos="1160"/>
          <w:tab w:val="left" w:pos="1980"/>
          <w:tab w:val="left" w:pos="2900"/>
          <w:tab w:val="left" w:pos="3600"/>
          <w:tab w:val="left" w:pos="4700"/>
        </w:tabs>
        <w:spacing w:after="60" w:line="360" w:lineRule="auto"/>
        <w:ind w:left="851" w:hanging="284"/>
        <w:jc w:val="both"/>
        <w:rPr>
          <w:b/>
          <w:i/>
          <w:smallCaps/>
        </w:rPr>
      </w:pPr>
      <w:r>
        <w:t>a. L’offre devra inclure pour chacune des entreprises, tous les renseignements énumérés à l’article 6.1 ci-dessus. Le RPAO devra préciser les informations à fournir par le groupement et celles à fournir par chaque membre du groupement ;</w:t>
      </w:r>
    </w:p>
    <w:p>
      <w:pPr>
        <w:pStyle w:val="3"/>
        <w:widowControl w:val="0"/>
        <w:spacing w:after="60" w:line="360" w:lineRule="auto"/>
        <w:ind w:left="851" w:hanging="284"/>
        <w:jc w:val="both"/>
        <w:rPr>
          <w:b/>
          <w:i/>
          <w:smallCaps/>
        </w:rPr>
      </w:pPr>
      <w:r>
        <w:t>b. L’offre et le marché doivent être signés de façon à obliger tous les membres du groupement;</w:t>
      </w:r>
    </w:p>
    <w:p>
      <w:pPr>
        <w:pStyle w:val="3"/>
        <w:widowControl w:val="0"/>
        <w:spacing w:after="60" w:line="360" w:lineRule="auto"/>
        <w:ind w:left="851" w:hanging="284"/>
        <w:jc w:val="both"/>
        <w:rPr>
          <w:b/>
          <w:i/>
          <w:smallCaps/>
        </w:rPr>
      </w:pPr>
      <w:r>
        <w:t>c. La nature du groupement (conjoint ou solidaire tel que requis dans le RPAO) doit être précisée et justifiée par la production d’une copie de l’accord de groupement en bonne et due forme ;</w:t>
      </w:r>
    </w:p>
    <w:p>
      <w:pPr>
        <w:pStyle w:val="3"/>
        <w:widowControl w:val="0"/>
        <w:spacing w:after="60" w:line="360" w:lineRule="auto"/>
        <w:ind w:left="851" w:hanging="284"/>
        <w:jc w:val="both"/>
        <w:rPr>
          <w:b/>
          <w:i/>
          <w:smallCaps/>
        </w:rPr>
      </w:pPr>
      <w:r>
        <w:t>d. Le membre du groupement désigné comme mandataire, représentera l’ensemble des entreprises vis à vis du Maître d’Ouvrage ou du Maître d’Ouvrage Délégué pour l’exécution du marché ;</w:t>
      </w:r>
    </w:p>
    <w:p>
      <w:pPr>
        <w:pStyle w:val="3"/>
        <w:widowControl w:val="0"/>
        <w:spacing w:after="60" w:line="360" w:lineRule="auto"/>
        <w:ind w:left="851" w:hanging="284"/>
        <w:jc w:val="both"/>
        <w:rPr>
          <w:b/>
          <w:i/>
          <w:smallCaps/>
        </w:rPr>
      </w:pPr>
      <w: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pPr>
        <w:pStyle w:val="3"/>
        <w:widowControl w:val="0"/>
        <w:tabs>
          <w:tab w:val="left" w:pos="1080"/>
          <w:tab w:val="left" w:pos="1680"/>
          <w:tab w:val="left" w:pos="2260"/>
          <w:tab w:val="left" w:pos="3060"/>
          <w:tab w:val="left" w:pos="3640"/>
          <w:tab w:val="left" w:pos="4000"/>
          <w:tab w:val="left" w:pos="4640"/>
        </w:tabs>
        <w:spacing w:after="60" w:line="360" w:lineRule="auto"/>
        <w:jc w:val="both"/>
        <w:rPr>
          <w:b/>
          <w:i/>
          <w:smallCaps/>
        </w:rPr>
      </w:pPr>
      <w:r>
        <w:t>6.3. Les soumissionnaires doivent également présenter des propositions suffisamment détaillées pour démontrer, qu’elles sont conformes aux spécifications techniques et aux délais d’exécution visés dans le RPAO.</w:t>
      </w:r>
    </w:p>
    <w:p>
      <w:pPr>
        <w:pStyle w:val="3"/>
        <w:widowControl w:val="0"/>
        <w:tabs>
          <w:tab w:val="left" w:pos="1080"/>
          <w:tab w:val="left" w:pos="1680"/>
          <w:tab w:val="left" w:pos="2260"/>
          <w:tab w:val="left" w:pos="3060"/>
          <w:tab w:val="left" w:pos="3640"/>
          <w:tab w:val="left" w:pos="4000"/>
          <w:tab w:val="left" w:pos="4640"/>
        </w:tabs>
        <w:spacing w:after="60" w:line="360" w:lineRule="auto"/>
        <w:jc w:val="both"/>
        <w:rPr>
          <w:b/>
          <w:i/>
          <w:smallCaps/>
        </w:rPr>
      </w:pPr>
      <w:r>
        <w:t>6.4. Les soumissionnaires, qui sollicitent le bénéfice d’une marge de préférence, doivent fournir tous les renseignements nécessaires pour prouver, qu’ils satisfont aux critères d’éligibilité décrits à l’article 33 du RGAO.</w:t>
      </w:r>
    </w:p>
    <w:p>
      <w:pPr>
        <w:pStyle w:val="3"/>
        <w:keepNext/>
        <w:numPr>
          <w:ilvl w:val="0"/>
          <w:numId w:val="13"/>
        </w:numPr>
        <w:spacing w:before="120" w:after="120"/>
        <w:ind w:left="1418" w:hanging="1418"/>
        <w:jc w:val="both"/>
        <w:rPr>
          <w:color w:val="000000"/>
        </w:rPr>
      </w:pPr>
      <w:bookmarkStart w:id="22" w:name="_1opuj5n" w:colFirst="0" w:colLast="0"/>
      <w:bookmarkEnd w:id="22"/>
      <w:r>
        <w:rPr>
          <w:color w:val="000000"/>
          <w:sz w:val="28"/>
          <w:szCs w:val="28"/>
        </w:rPr>
        <w:t>Visite du site des travaux</w:t>
      </w:r>
    </w:p>
    <w:p>
      <w:pPr>
        <w:pStyle w:val="3"/>
        <w:widowControl w:val="0"/>
        <w:spacing w:after="60" w:line="360" w:lineRule="auto"/>
        <w:jc w:val="both"/>
        <w:rPr>
          <w:b/>
          <w:i/>
          <w:smallCaps/>
        </w:rPr>
      </w:pPr>
      <w: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pPr>
        <w:pStyle w:val="3"/>
        <w:widowControl w:val="0"/>
        <w:tabs>
          <w:tab w:val="left" w:pos="1100"/>
          <w:tab w:val="left" w:pos="2100"/>
          <w:tab w:val="left" w:pos="3520"/>
          <w:tab w:val="left" w:pos="4900"/>
        </w:tabs>
        <w:spacing w:after="60" w:line="360" w:lineRule="auto"/>
        <w:jc w:val="both"/>
        <w:rPr>
          <w:b/>
          <w:i/>
          <w:smallCaps/>
        </w:rPr>
      </w:pPr>
      <w: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pPr>
        <w:pStyle w:val="3"/>
        <w:widowControl w:val="0"/>
        <w:tabs>
          <w:tab w:val="left" w:pos="1100"/>
          <w:tab w:val="left" w:pos="2100"/>
          <w:tab w:val="left" w:pos="3520"/>
          <w:tab w:val="left" w:pos="4900"/>
        </w:tabs>
        <w:spacing w:after="60" w:line="360" w:lineRule="auto"/>
        <w:jc w:val="both"/>
        <w:rPr>
          <w:b/>
          <w:i/>
          <w:smallCaps/>
        </w:rPr>
      </w:pPr>
      <w:r>
        <w:t>Le soumissionnaire demeure responsable des accidents mortels ou corporels, des pertes ou dommages matériels, coûts et frais encourus du fait de cette visite.</w:t>
      </w:r>
    </w:p>
    <w:p>
      <w:pPr>
        <w:pStyle w:val="3"/>
        <w:widowControl w:val="0"/>
        <w:spacing w:after="60" w:line="360" w:lineRule="auto"/>
        <w:jc w:val="both"/>
        <w:rPr>
          <w:b/>
          <w:i/>
          <w:smallCaps/>
        </w:rPr>
      </w:pPr>
      <w:r>
        <w:t>7.3. Le Maître d’Ouvrage ou le Maître d’Ouvrage Délégué peut organiser une visite du site des travaux au moment de la réunion préparatoire à l’établissement des offres mentionnées à l’article 19 du RGAO.</w:t>
      </w:r>
    </w:p>
    <w:p>
      <w:pPr>
        <w:pStyle w:val="3"/>
        <w:keepNext/>
        <w:numPr>
          <w:ilvl w:val="0"/>
          <w:numId w:val="12"/>
        </w:numPr>
        <w:ind w:left="714" w:hanging="357"/>
        <w:jc w:val="center"/>
        <w:rPr>
          <w:smallCaps/>
          <w:color w:val="000000"/>
          <w:sz w:val="32"/>
          <w:szCs w:val="32"/>
        </w:rPr>
      </w:pPr>
      <w:bookmarkStart w:id="23" w:name="_48pi1tg" w:colFirst="0" w:colLast="0"/>
      <w:bookmarkEnd w:id="23"/>
      <w:r>
        <w:rPr>
          <w:smallCaps/>
          <w:color w:val="000000"/>
          <w:sz w:val="32"/>
          <w:szCs w:val="32"/>
        </w:rPr>
        <w:t>DOSSIER D’APPEL D’OFFRES</w:t>
      </w:r>
    </w:p>
    <w:p>
      <w:pPr>
        <w:pStyle w:val="3"/>
        <w:keepNext/>
        <w:numPr>
          <w:ilvl w:val="0"/>
          <w:numId w:val="13"/>
        </w:numPr>
        <w:spacing w:before="120" w:after="120"/>
        <w:ind w:left="1418" w:hanging="1418"/>
        <w:jc w:val="both"/>
        <w:rPr>
          <w:color w:val="000000"/>
        </w:rPr>
      </w:pPr>
      <w:bookmarkStart w:id="24" w:name="_2nusc19" w:colFirst="0" w:colLast="0"/>
      <w:bookmarkEnd w:id="24"/>
      <w:r>
        <w:rPr>
          <w:color w:val="000000"/>
          <w:sz w:val="28"/>
          <w:szCs w:val="28"/>
        </w:rPr>
        <w:t>Contenu du Dossier d’Appel d’Offres</w:t>
      </w:r>
    </w:p>
    <w:p>
      <w:pPr>
        <w:pStyle w:val="3"/>
        <w:widowControl w:val="0"/>
        <w:spacing w:after="60" w:line="360" w:lineRule="auto"/>
        <w:jc w:val="both"/>
        <w:rPr>
          <w:b/>
          <w:i/>
          <w:smallCaps/>
        </w:rPr>
      </w:pPr>
      <w:r>
        <w:rPr>
          <w:b/>
        </w:rPr>
        <w:t>8.1.</w:t>
      </w:r>
      <w: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pPr>
        <w:pStyle w:val="3"/>
        <w:widowControl w:val="0"/>
        <w:spacing w:after="60" w:line="360" w:lineRule="auto"/>
        <w:jc w:val="both"/>
        <w:rPr>
          <w:b/>
          <w:i/>
          <w:smallCaps/>
        </w:rPr>
      </w:pPr>
      <w:bookmarkStart w:id="25" w:name="_1302m92" w:colFirst="0" w:colLast="0"/>
      <w:bookmarkEnd w:id="25"/>
      <w:r>
        <w:t>Pièce n° 0 : La lettre d’invitation à soumissionner (en cas d’Appels d’Offres Restreints) ;</w:t>
      </w:r>
    </w:p>
    <w:p>
      <w:pPr>
        <w:pStyle w:val="3"/>
        <w:widowControl w:val="0"/>
        <w:spacing w:after="60" w:line="360" w:lineRule="auto"/>
        <w:jc w:val="both"/>
        <w:rPr>
          <w:b/>
          <w:i/>
          <w:smallCaps/>
        </w:rPr>
      </w:pPr>
      <w:r>
        <w:t>Pièce n° 1 : L’Avis d’Appel d’Offres rédigé en français et en anglais (AAO) ;</w:t>
      </w:r>
    </w:p>
    <w:p>
      <w:pPr>
        <w:pStyle w:val="3"/>
        <w:widowControl w:val="0"/>
        <w:spacing w:after="60" w:line="360" w:lineRule="auto"/>
        <w:jc w:val="both"/>
        <w:rPr>
          <w:b/>
          <w:i/>
          <w:smallCaps/>
        </w:rPr>
      </w:pPr>
      <w:r>
        <w:t>Pièce n° 2 : Le Règlement Général de l’Appel d’Offres (RGAO) ;</w:t>
      </w:r>
    </w:p>
    <w:p>
      <w:pPr>
        <w:pStyle w:val="3"/>
        <w:widowControl w:val="0"/>
        <w:tabs>
          <w:tab w:val="left" w:pos="1760"/>
          <w:tab w:val="left" w:pos="3000"/>
          <w:tab w:val="left" w:pos="3480"/>
          <w:tab w:val="left" w:pos="4380"/>
        </w:tabs>
        <w:spacing w:after="60" w:line="360" w:lineRule="auto"/>
        <w:jc w:val="both"/>
        <w:rPr>
          <w:b/>
          <w:i/>
          <w:smallCaps/>
        </w:rPr>
      </w:pPr>
      <w:r>
        <w:t>Pièce n° 3 : Le Règlement Particulier de l’Appel d’Offres (RPAO) ;</w:t>
      </w:r>
    </w:p>
    <w:p>
      <w:pPr>
        <w:pStyle w:val="3"/>
        <w:widowControl w:val="0"/>
        <w:spacing w:after="60" w:line="360" w:lineRule="auto"/>
        <w:jc w:val="both"/>
        <w:rPr>
          <w:b/>
          <w:i/>
          <w:smallCaps/>
        </w:rPr>
      </w:pPr>
      <w:r>
        <w:t>Pièce n° 4 : Le Cahier des Clauses Administratives Particulières (CCAP) ;</w:t>
      </w:r>
    </w:p>
    <w:p>
      <w:pPr>
        <w:pStyle w:val="3"/>
        <w:widowControl w:val="0"/>
        <w:tabs>
          <w:tab w:val="left" w:pos="440"/>
        </w:tabs>
        <w:spacing w:after="60" w:line="360" w:lineRule="auto"/>
        <w:jc w:val="both"/>
        <w:rPr>
          <w:b/>
          <w:i/>
          <w:smallCaps/>
        </w:rPr>
      </w:pPr>
      <w:r>
        <w:t>Pièce n° 5 : Le Cahier des Clauses Techniques Particulières (CCTP) ;</w:t>
      </w:r>
    </w:p>
    <w:p>
      <w:pPr>
        <w:pStyle w:val="3"/>
        <w:widowControl w:val="0"/>
        <w:spacing w:after="60" w:line="360" w:lineRule="auto"/>
        <w:jc w:val="both"/>
        <w:rPr>
          <w:b/>
          <w:i/>
          <w:smallCaps/>
        </w:rPr>
      </w:pPr>
      <w:r>
        <w:t>Pièce n° 6 : Le Cadre du Bordereau des prix unitaires ;</w:t>
      </w:r>
    </w:p>
    <w:p>
      <w:pPr>
        <w:pStyle w:val="3"/>
        <w:widowControl w:val="0"/>
        <w:spacing w:after="60" w:line="360" w:lineRule="auto"/>
        <w:jc w:val="both"/>
        <w:rPr>
          <w:b/>
          <w:i/>
          <w:smallCaps/>
        </w:rPr>
      </w:pPr>
      <w:r>
        <w:t>Pièce n° 7 : Le Cadre du Détail quantitatif et estimatif ;</w:t>
      </w:r>
    </w:p>
    <w:p>
      <w:pPr>
        <w:pStyle w:val="3"/>
        <w:widowControl w:val="0"/>
        <w:tabs>
          <w:tab w:val="left" w:pos="440"/>
        </w:tabs>
        <w:spacing w:after="60" w:line="360" w:lineRule="auto"/>
        <w:jc w:val="both"/>
        <w:rPr>
          <w:b/>
          <w:i/>
          <w:smallCaps/>
        </w:rPr>
      </w:pPr>
      <w:r>
        <w:t>Pièce n°8 : Le Cadre du Sous-Détail des Prix Unitaires ou de la décomposition des prix, le cas échéant ;</w:t>
      </w:r>
    </w:p>
    <w:p>
      <w:pPr>
        <w:pStyle w:val="3"/>
        <w:widowControl w:val="0"/>
        <w:tabs>
          <w:tab w:val="left" w:pos="440"/>
        </w:tabs>
        <w:spacing w:after="60" w:line="360" w:lineRule="auto"/>
        <w:jc w:val="both"/>
        <w:rPr>
          <w:b/>
          <w:i/>
          <w:smallCaps/>
        </w:rPr>
      </w:pPr>
      <w:r>
        <w:t>Pièce n°09 : Le modèle de marché ;</w:t>
      </w:r>
    </w:p>
    <w:p>
      <w:pPr>
        <w:pStyle w:val="3"/>
        <w:widowControl w:val="0"/>
        <w:tabs>
          <w:tab w:val="left" w:pos="440"/>
        </w:tabs>
        <w:spacing w:after="60" w:line="360" w:lineRule="auto"/>
        <w:jc w:val="both"/>
      </w:pPr>
      <w:r>
        <w:t>Pièce n° 10 : Les Modèles ou formulaires types à utiliser par les Soumissionnaires notamment :</w:t>
      </w:r>
    </w:p>
    <w:p>
      <w:pPr>
        <w:pStyle w:val="3"/>
        <w:widowControl w:val="0"/>
        <w:tabs>
          <w:tab w:val="left" w:pos="440"/>
        </w:tabs>
        <w:spacing w:after="60" w:line="360" w:lineRule="auto"/>
        <w:jc w:val="both"/>
        <w:rPr>
          <w:b/>
          <w:i/>
          <w:smallCaps/>
        </w:rPr>
      </w:pPr>
    </w:p>
    <w:p>
      <w:pPr>
        <w:pStyle w:val="3"/>
        <w:widowControl w:val="0"/>
        <w:spacing w:line="360" w:lineRule="auto"/>
        <w:jc w:val="both"/>
        <w:rPr>
          <w:i/>
          <w:sz w:val="20"/>
          <w:szCs w:val="20"/>
        </w:rPr>
      </w:pPr>
      <w:bookmarkStart w:id="26" w:name="_3mzq4wv" w:colFirst="0" w:colLast="0"/>
      <w:bookmarkEnd w:id="26"/>
      <w:r>
        <w:rPr>
          <w:i/>
        </w:rPr>
        <w:t xml:space="preserve">                          Annexe n° 1: Modèle de Déclaration d’intention de soumissionner </w:t>
      </w:r>
    </w:p>
    <w:p>
      <w:pPr>
        <w:pStyle w:val="3"/>
        <w:widowControl w:val="0"/>
        <w:spacing w:line="360" w:lineRule="auto"/>
        <w:jc w:val="both"/>
        <w:rPr>
          <w:i/>
          <w:sz w:val="20"/>
          <w:szCs w:val="20"/>
        </w:rPr>
      </w:pPr>
      <w:r>
        <w:rPr>
          <w:i/>
        </w:rPr>
        <w:t xml:space="preserve">                         Annexe n° 2: Modèle de soumission</w:t>
      </w:r>
      <w:r>
        <w:rPr>
          <w:i/>
        </w:rPr>
        <w:tab/>
      </w:r>
    </w:p>
    <w:p>
      <w:pPr>
        <w:pStyle w:val="3"/>
        <w:widowControl w:val="0"/>
        <w:spacing w:line="360" w:lineRule="auto"/>
        <w:ind w:left="1440"/>
        <w:jc w:val="both"/>
        <w:rPr>
          <w:i/>
          <w:sz w:val="20"/>
          <w:szCs w:val="20"/>
        </w:rPr>
      </w:pPr>
      <w:r>
        <w:rPr>
          <w:i/>
        </w:rPr>
        <w:t>Annexe n° 3: Modèle de caution de soumission</w:t>
      </w:r>
      <w:r>
        <w:rPr>
          <w:i/>
        </w:rPr>
        <w:tab/>
      </w:r>
    </w:p>
    <w:p>
      <w:pPr>
        <w:pStyle w:val="3"/>
        <w:widowControl w:val="0"/>
        <w:spacing w:line="360" w:lineRule="auto"/>
        <w:ind w:left="1440"/>
        <w:jc w:val="both"/>
        <w:rPr>
          <w:i/>
          <w:sz w:val="20"/>
          <w:szCs w:val="20"/>
        </w:rPr>
      </w:pPr>
      <w:r>
        <w:rPr>
          <w:i/>
        </w:rPr>
        <w:t>Annexe n° 4: Modèle de cautionnement définitif</w:t>
      </w:r>
      <w:r>
        <w:rPr>
          <w:i/>
        </w:rPr>
        <w:tab/>
      </w:r>
    </w:p>
    <w:p>
      <w:pPr>
        <w:pStyle w:val="3"/>
        <w:widowControl w:val="0"/>
        <w:spacing w:line="360" w:lineRule="auto"/>
        <w:ind w:left="1440"/>
        <w:jc w:val="both"/>
        <w:rPr>
          <w:i/>
          <w:sz w:val="20"/>
          <w:szCs w:val="20"/>
        </w:rPr>
      </w:pPr>
      <w:r>
        <w:rPr>
          <w:i/>
        </w:rPr>
        <w:t>Annexe n° 5: Modèle de caution d'avance de démarrage</w:t>
      </w:r>
      <w:r>
        <w:rPr>
          <w:i/>
        </w:rPr>
        <w:tab/>
      </w:r>
    </w:p>
    <w:p>
      <w:pPr>
        <w:pStyle w:val="3"/>
        <w:widowControl w:val="0"/>
        <w:spacing w:line="360" w:lineRule="auto"/>
        <w:ind w:left="1440"/>
        <w:jc w:val="both"/>
        <w:rPr>
          <w:i/>
          <w:sz w:val="20"/>
          <w:szCs w:val="20"/>
        </w:rPr>
      </w:pPr>
      <w:r>
        <w:rPr>
          <w:i/>
        </w:rPr>
        <w:t>Annexe n°6 : Modèle de caution de bonne exécution (retenue de garantie)</w:t>
      </w:r>
      <w:r>
        <w:rPr>
          <w:i/>
        </w:rPr>
        <w:tab/>
      </w:r>
    </w:p>
    <w:p>
      <w:pPr>
        <w:pStyle w:val="3"/>
        <w:widowControl w:val="0"/>
        <w:spacing w:line="360" w:lineRule="auto"/>
        <w:ind w:left="1440"/>
        <w:jc w:val="both"/>
        <w:rPr>
          <w:i/>
          <w:sz w:val="20"/>
          <w:szCs w:val="20"/>
        </w:rPr>
      </w:pPr>
      <w:r>
        <w:rPr>
          <w:i/>
        </w:rPr>
        <w:t>Annexe n° 7: Modèle de Lettre de soumission de la proposition technique</w:t>
      </w:r>
    </w:p>
    <w:p>
      <w:pPr>
        <w:pStyle w:val="3"/>
        <w:widowControl w:val="0"/>
        <w:spacing w:line="360" w:lineRule="auto"/>
        <w:ind w:left="1440"/>
        <w:jc w:val="both"/>
        <w:rPr>
          <w:i/>
          <w:sz w:val="20"/>
          <w:szCs w:val="20"/>
        </w:rPr>
      </w:pPr>
      <w:r>
        <w:rPr>
          <w:i/>
        </w:rPr>
        <w:t>Annexe n° 8: Modèle de Cadre du planning</w:t>
      </w:r>
      <w:r>
        <w:rPr>
          <w:i/>
        </w:rPr>
        <w:tab/>
      </w:r>
    </w:p>
    <w:p>
      <w:pPr>
        <w:pStyle w:val="3"/>
        <w:widowControl w:val="0"/>
        <w:spacing w:line="360" w:lineRule="auto"/>
        <w:ind w:left="1440"/>
        <w:jc w:val="both"/>
        <w:rPr>
          <w:i/>
          <w:sz w:val="20"/>
          <w:szCs w:val="20"/>
        </w:rPr>
      </w:pPr>
      <w:r>
        <w:rPr>
          <w:i/>
        </w:rPr>
        <w:t>Annexe n° 9: Modèle de liste de personnels à mobiliser</w:t>
      </w:r>
      <w:r>
        <w:rPr>
          <w:i/>
        </w:rPr>
        <w:tab/>
      </w:r>
    </w:p>
    <w:p>
      <w:pPr>
        <w:pStyle w:val="3"/>
        <w:widowControl w:val="0"/>
        <w:spacing w:line="360" w:lineRule="auto"/>
        <w:ind w:left="1440"/>
        <w:jc w:val="both"/>
        <w:rPr>
          <w:i/>
          <w:sz w:val="20"/>
          <w:szCs w:val="20"/>
        </w:rPr>
      </w:pPr>
      <w:r>
        <w:rPr>
          <w:i/>
        </w:rPr>
        <w:t>Annexe n° 10 : Modèle de fiches de prestations susceptibles d'être sous traitées</w:t>
      </w:r>
    </w:p>
    <w:p>
      <w:pPr>
        <w:pStyle w:val="3"/>
        <w:widowControl w:val="0"/>
        <w:spacing w:line="360" w:lineRule="auto"/>
        <w:ind w:left="1440"/>
        <w:jc w:val="both"/>
        <w:rPr>
          <w:i/>
          <w:sz w:val="20"/>
          <w:szCs w:val="20"/>
        </w:rPr>
      </w:pPr>
      <w:r>
        <w:rPr>
          <w:i/>
        </w:rPr>
        <w:t>Annexe n° 11 : Modèle de CV de personnels à mobiliser</w:t>
      </w:r>
      <w:r>
        <w:rPr>
          <w:i/>
        </w:rPr>
        <w:tab/>
      </w:r>
      <w:r>
        <w:rPr>
          <w:i/>
        </w:rPr>
        <w:t xml:space="preserve"> </w:t>
      </w:r>
    </w:p>
    <w:p>
      <w:pPr>
        <w:pStyle w:val="3"/>
        <w:widowControl w:val="0"/>
        <w:spacing w:after="60" w:line="360" w:lineRule="auto"/>
        <w:jc w:val="both"/>
        <w:rPr>
          <w:b/>
          <w:i/>
          <w:smallCaps/>
        </w:rPr>
      </w:pPr>
      <w:bookmarkStart w:id="27" w:name="_2250f4o" w:colFirst="0" w:colLast="0"/>
      <w:bookmarkEnd w:id="27"/>
      <w:r>
        <w:t>Pièce n° 11 : Le formulaire de la charte d’intégrité.</w:t>
      </w:r>
    </w:p>
    <w:p>
      <w:pPr>
        <w:pStyle w:val="3"/>
        <w:widowControl w:val="0"/>
        <w:spacing w:after="60" w:line="360" w:lineRule="auto"/>
        <w:jc w:val="both"/>
        <w:rPr>
          <w:b/>
          <w:i/>
          <w:smallCaps/>
        </w:rPr>
      </w:pPr>
      <w:bookmarkStart w:id="28" w:name="_haapch" w:colFirst="0" w:colLast="0"/>
      <w:bookmarkEnd w:id="28"/>
      <w:r>
        <w:t>Pièce n° 12 : Le formulaire de déclaration d’engagement au respect des clauses sociales et environnementales.</w:t>
      </w:r>
    </w:p>
    <w:p>
      <w:pPr>
        <w:pStyle w:val="3"/>
        <w:widowControl w:val="0"/>
        <w:spacing w:after="60" w:line="360" w:lineRule="auto"/>
        <w:jc w:val="both"/>
        <w:rPr>
          <w:b/>
          <w:i/>
          <w:smallCaps/>
        </w:rPr>
      </w:pPr>
      <w:r>
        <w:t>Pièce n° 13 : le visa de maturité ou les justificatifs des études préalables à remplir par le Maître d’Ouvrage ou le Maître d’Ouvrage Délégué, la disponibilité du financement ou l'inscription budgétaire.</w:t>
      </w:r>
    </w:p>
    <w:p>
      <w:pPr>
        <w:pStyle w:val="3"/>
        <w:widowControl w:val="0"/>
        <w:tabs>
          <w:tab w:val="left" w:pos="440"/>
        </w:tabs>
        <w:spacing w:after="60" w:line="360" w:lineRule="auto"/>
        <w:jc w:val="both"/>
        <w:rPr>
          <w:b/>
          <w:i/>
          <w:smallCaps/>
        </w:rPr>
      </w:pPr>
      <w:r>
        <w:t>Pièce n° 14 :</w:t>
      </w:r>
      <w:r>
        <w:tab/>
      </w:r>
      <w:r>
        <w:t xml:space="preserve">La liste des établissements bancaires et organismes financiers habilités par le Ministre en charge des à émettre des cautions, dans le cadre des marchés publics. </w:t>
      </w:r>
    </w:p>
    <w:p>
      <w:pPr>
        <w:pStyle w:val="3"/>
        <w:widowControl w:val="0"/>
        <w:tabs>
          <w:tab w:val="left" w:pos="2420"/>
          <w:tab w:val="left" w:pos="2940"/>
          <w:tab w:val="left" w:pos="3320"/>
          <w:tab w:val="left" w:pos="4300"/>
        </w:tabs>
        <w:spacing w:after="60" w:line="360" w:lineRule="auto"/>
        <w:jc w:val="both"/>
        <w:rPr>
          <w:b/>
          <w:i/>
          <w:smallCaps/>
        </w:rPr>
      </w:pPr>
      <w:r>
        <w:rPr>
          <w:b/>
        </w:rPr>
        <w:t>8.2</w:t>
      </w:r>
      <w:r>
        <w:t>. Le Soumissionnaire doit examiner l’ensemble des règlements, formulaires, conditions et spécifications contenus dans le DAO. Il lui appartient de fournir tous les renseignements demandés et de préparer une offre conforme à tous égards audit dossier.</w:t>
      </w:r>
    </w:p>
    <w:p>
      <w:pPr>
        <w:pStyle w:val="3"/>
        <w:keepNext/>
        <w:numPr>
          <w:ilvl w:val="0"/>
          <w:numId w:val="13"/>
        </w:numPr>
        <w:spacing w:before="120" w:after="120"/>
        <w:ind w:left="1418" w:hanging="1418"/>
        <w:jc w:val="both"/>
        <w:rPr>
          <w:color w:val="000000"/>
        </w:rPr>
      </w:pPr>
      <w:bookmarkStart w:id="29" w:name="_319y80a" w:colFirst="0" w:colLast="0"/>
      <w:bookmarkEnd w:id="29"/>
      <w:r>
        <w:rPr>
          <w:color w:val="000000"/>
          <w:sz w:val="28"/>
          <w:szCs w:val="28"/>
        </w:rPr>
        <w:t>Eclaircissements apportés au Dossier d’Appel d’Offres et Recours</w:t>
      </w:r>
    </w:p>
    <w:p>
      <w:pPr>
        <w:pStyle w:val="3"/>
        <w:widowControl w:val="0"/>
        <w:spacing w:after="60" w:line="360" w:lineRule="auto"/>
        <w:ind w:right="-15"/>
        <w:jc w:val="both"/>
        <w:rPr>
          <w:b/>
          <w:i/>
          <w:smallCaps/>
        </w:rPr>
      </w:pPr>
      <w: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Pr>
          <w:b/>
        </w:rPr>
        <w:t>sur tout autre moyen de communication électronique indiqué dans le DAO à toute demande d’éclaircissement reçue au moins quatorze (14) jours avant la date limite de dépôt des offres.</w:t>
      </w:r>
      <w:r>
        <w:t xml:space="preserve"> </w:t>
      </w:r>
    </w:p>
    <w:p>
      <w:pPr>
        <w:pStyle w:val="3"/>
        <w:tabs>
          <w:tab w:val="left" w:pos="1701"/>
        </w:tabs>
        <w:spacing w:after="60" w:line="360" w:lineRule="auto"/>
        <w:jc w:val="both"/>
        <w:rPr>
          <w:color w:val="000000"/>
        </w:rPr>
      </w:pPr>
      <w:r>
        <w:rPr>
          <w:color w:val="000000"/>
        </w:rPr>
        <w:t>9.1.b). Une copie de la réponse de l’Autorité Contractante, indiquant la question posée mais ne mentionnant pas son auteur, est adressée à tous les soumissionnaires ayant acheté le Dossier d’Appel d’Offres dans un délai maximal de cinq (05) jours.</w:t>
      </w:r>
    </w:p>
    <w:p>
      <w:pPr>
        <w:pStyle w:val="3"/>
        <w:tabs>
          <w:tab w:val="left" w:pos="1701"/>
        </w:tabs>
        <w:spacing w:after="60" w:line="360" w:lineRule="auto"/>
        <w:jc w:val="both"/>
        <w:rPr>
          <w:color w:val="000000"/>
        </w:rPr>
      </w:pPr>
      <w:r>
        <w:rPr>
          <w:color w:val="000000"/>
        </w:rPr>
        <w:t>9. 2.  Tout soumissionnaire, qui s’estime lésé peut introduire une requête auprès du Maître d’ouvrage ou du Maître d’ouvrage Délégué.</w:t>
      </w:r>
    </w:p>
    <w:p>
      <w:pPr>
        <w:pStyle w:val="3"/>
        <w:tabs>
          <w:tab w:val="left" w:pos="1701"/>
        </w:tabs>
        <w:spacing w:after="60" w:line="360" w:lineRule="auto"/>
        <w:jc w:val="both"/>
        <w:rPr>
          <w:color w:val="000000"/>
        </w:rPr>
      </w:pPr>
      <w:r>
        <w:rPr>
          <w:color w:val="000000"/>
        </w:rPr>
        <w:t xml:space="preserve"> En cas d’Appel d’Offres Restreint, le recours doit :</w:t>
      </w:r>
    </w:p>
    <w:p>
      <w:pPr>
        <w:pStyle w:val="3"/>
        <w:tabs>
          <w:tab w:val="left" w:pos="1701"/>
        </w:tabs>
        <w:spacing w:after="60" w:line="360" w:lineRule="auto"/>
        <w:ind w:left="567"/>
        <w:jc w:val="both"/>
        <w:rPr>
          <w:color w:val="000000"/>
        </w:rPr>
      </w:pPr>
      <w:bookmarkStart w:id="30" w:name="_1gf8i83" w:colFirst="0" w:colLast="0"/>
      <w:bookmarkEnd w:id="30"/>
      <w:r>
        <w:rPr>
          <w:color w:val="000000"/>
        </w:rPr>
        <w:t xml:space="preserve">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pPr>
        <w:pStyle w:val="3"/>
        <w:spacing w:after="60" w:line="360" w:lineRule="auto"/>
        <w:ind w:left="567"/>
        <w:jc w:val="both"/>
        <w:rPr>
          <w:color w:val="000000"/>
        </w:rPr>
      </w:pPr>
      <w:bookmarkStart w:id="31" w:name="_40ew0vw" w:colFirst="0" w:colLast="0"/>
      <w:bookmarkEnd w:id="31"/>
      <w:r>
        <w:rPr>
          <w:color w:val="000000"/>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pPr>
        <w:pStyle w:val="3"/>
        <w:widowControl w:val="0"/>
        <w:spacing w:after="60" w:line="360" w:lineRule="auto"/>
        <w:ind w:left="567"/>
        <w:jc w:val="both"/>
        <w:rPr>
          <w:b/>
          <w:i/>
          <w:smallCaps/>
        </w:rPr>
      </w:pPr>
      <w:r>
        <w:t>c) Ce recours n’est pas suspensif.</w:t>
      </w:r>
    </w:p>
    <w:p>
      <w:pPr>
        <w:pStyle w:val="3"/>
        <w:widowControl w:val="0"/>
        <w:spacing w:after="60" w:line="360" w:lineRule="auto"/>
        <w:jc w:val="both"/>
        <w:rPr>
          <w:b/>
          <w:i/>
          <w:smallCaps/>
        </w:rPr>
      </w:pPr>
      <w:r>
        <w:t xml:space="preserve">9.3. Lorsque l’Appel d’Offres est la procédure retenue, le recours doit être adressé, entre la publication de l’Avis d’Appel d’Offres et l’ouverture des plis : </w:t>
      </w:r>
    </w:p>
    <w:p>
      <w:pPr>
        <w:pStyle w:val="3"/>
        <w:widowControl w:val="0"/>
        <w:spacing w:after="60" w:line="360" w:lineRule="auto"/>
        <w:ind w:left="567"/>
        <w:jc w:val="both"/>
        <w:rPr>
          <w:b/>
          <w:i/>
          <w:smallCaps/>
        </w:rPr>
      </w:pPr>
      <w:r>
        <w:t>a) au Maître d’Ouvrage ou au Maître d’Ouvrage Délégué avec copie à l’Autorité chargée des Marchés Publics et à l’organisme chargé de la régulation des marchés publics ;</w:t>
      </w:r>
    </w:p>
    <w:p>
      <w:pPr>
        <w:pStyle w:val="3"/>
        <w:widowControl w:val="0"/>
        <w:spacing w:after="60" w:line="360" w:lineRule="auto"/>
        <w:ind w:left="567"/>
        <w:jc w:val="both"/>
        <w:rPr>
          <w:b/>
          <w:i/>
          <w:smallCaps/>
        </w:rPr>
      </w:pPr>
      <w:r>
        <w:t>b) il doit parvenir au Maître d’Ouvrage ou au Maître d’Ouvrage Délégué au plus tard quatorze (14) jours ouvrables avant la date d’ouverture des offres ;</w:t>
      </w:r>
    </w:p>
    <w:p>
      <w:pPr>
        <w:pStyle w:val="3"/>
        <w:widowControl w:val="0"/>
        <w:spacing w:after="60" w:line="360" w:lineRule="auto"/>
        <w:ind w:left="567"/>
        <w:jc w:val="both"/>
        <w:rPr>
          <w:b/>
          <w:i/>
          <w:smallCaps/>
        </w:rPr>
      </w:pPr>
      <w:r>
        <w:t>c) le Maître d’Ouvrage ou le Maître d’Ouvrage Délégué dispose de cinq (05) jours ouvrables pour réagir. La copie de la réaction est transmise à l’Autorité chargée des Marchés Publics et à l’Organisme Chargé de la Régulation des Marchés Publics ;</w:t>
      </w:r>
    </w:p>
    <w:p>
      <w:pPr>
        <w:pStyle w:val="3"/>
        <w:widowControl w:val="0"/>
        <w:spacing w:after="60" w:line="360" w:lineRule="auto"/>
        <w:ind w:left="567"/>
        <w:jc w:val="both"/>
        <w:rPr>
          <w:b/>
          <w:i/>
          <w:smallCaps/>
        </w:rPr>
      </w:pPr>
      <w:r>
        <w:t>d) en cas de désaccord entre le requérant et le Maître d’Ouvrage</w:t>
      </w:r>
      <w:r>
        <w:rPr>
          <w:strike/>
        </w:rPr>
        <w:t xml:space="preserve"> </w:t>
      </w:r>
      <w:r>
        <w:t>ou le Maître d’Ouvrage Délégué, le recours est porté par le requérant au Comité chargé de l’examen des recours.</w:t>
      </w:r>
    </w:p>
    <w:p>
      <w:pPr>
        <w:pStyle w:val="3"/>
        <w:widowControl w:val="0"/>
        <w:spacing w:after="60" w:line="360" w:lineRule="auto"/>
        <w:ind w:left="567"/>
        <w:jc w:val="both"/>
        <w:rPr>
          <w:b/>
          <w:i/>
          <w:smallCaps/>
        </w:rPr>
      </w:pPr>
      <w:r>
        <w:t>e) ce recours n’est pas suspensif.</w:t>
      </w:r>
    </w:p>
    <w:p>
      <w:pPr>
        <w:pStyle w:val="3"/>
        <w:keepNext/>
        <w:numPr>
          <w:ilvl w:val="0"/>
          <w:numId w:val="13"/>
        </w:numPr>
        <w:spacing w:before="120" w:after="120"/>
        <w:ind w:left="1418" w:hanging="1418"/>
        <w:jc w:val="both"/>
        <w:rPr>
          <w:color w:val="000000"/>
        </w:rPr>
      </w:pPr>
      <w:bookmarkStart w:id="32" w:name="_2fk6b3p" w:colFirst="0" w:colLast="0"/>
      <w:bookmarkEnd w:id="32"/>
      <w:r>
        <w:rPr>
          <w:color w:val="000000"/>
          <w:sz w:val="28"/>
          <w:szCs w:val="28"/>
        </w:rPr>
        <w:t>Modification du Dossier d’Appel d’Offres</w:t>
      </w:r>
    </w:p>
    <w:p>
      <w:pPr>
        <w:pStyle w:val="3"/>
        <w:widowControl w:val="0"/>
        <w:spacing w:after="60" w:line="360" w:lineRule="auto"/>
        <w:jc w:val="both"/>
        <w:rPr>
          <w:b/>
          <w:i/>
          <w:smallCaps/>
        </w:rPr>
      </w:pPr>
      <w: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pPr>
        <w:pStyle w:val="3"/>
        <w:widowControl w:val="0"/>
        <w:spacing w:after="60" w:line="360" w:lineRule="auto"/>
        <w:jc w:val="both"/>
        <w:rPr>
          <w:b/>
          <w:i/>
          <w:smallCaps/>
        </w:rPr>
      </w:pPr>
      <w:r>
        <w:t xml:space="preserve">10.2. Tout additif ainsi publié fera partie intégrante du Dossier d’Appel d’Offres conformément à </w:t>
      </w:r>
      <w:r>
        <w:rPr>
          <w:highlight w:val="white"/>
        </w:rPr>
        <w:t>l’Article 8.1 du RGAO</w:t>
      </w:r>
      <w:r>
        <w:t xml:space="preserve"> et doit être communiqué par écrit ou signifié par tout moyen laissant trace écrite à tous les soumissionnaires ayant acheté le Dossier d’Appel d’Offres </w:t>
      </w:r>
      <w:r>
        <w:rPr>
          <w:b/>
        </w:rPr>
        <w:t>sur tout autre moyen de communication électronique indiqué par le Maître d’Ouvrage dans le DAO</w:t>
      </w:r>
      <w:r>
        <w:t>.</w:t>
      </w:r>
    </w:p>
    <w:p>
      <w:pPr>
        <w:pStyle w:val="3"/>
        <w:widowControl w:val="0"/>
        <w:tabs>
          <w:tab w:val="left" w:pos="1260"/>
          <w:tab w:val="left" w:pos="1760"/>
          <w:tab w:val="left" w:pos="2700"/>
          <w:tab w:val="left" w:pos="3320"/>
        </w:tabs>
        <w:spacing w:after="60" w:line="360" w:lineRule="auto"/>
        <w:jc w:val="both"/>
        <w:rPr>
          <w:b/>
          <w:i/>
          <w:smallCaps/>
        </w:rPr>
      </w:pPr>
      <w:r>
        <w:t>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pPr>
        <w:pStyle w:val="3"/>
        <w:keepNext/>
        <w:numPr>
          <w:ilvl w:val="0"/>
          <w:numId w:val="12"/>
        </w:numPr>
        <w:ind w:left="714" w:hanging="357"/>
        <w:jc w:val="center"/>
        <w:rPr>
          <w:smallCaps/>
          <w:color w:val="000000"/>
          <w:sz w:val="32"/>
          <w:szCs w:val="32"/>
        </w:rPr>
      </w:pPr>
      <w:bookmarkStart w:id="33" w:name="_upglbi" w:colFirst="0" w:colLast="0"/>
      <w:bookmarkEnd w:id="33"/>
      <w:r>
        <w:rPr>
          <w:smallCaps/>
          <w:color w:val="000000"/>
          <w:sz w:val="32"/>
          <w:szCs w:val="32"/>
        </w:rPr>
        <w:t>PRÉPARATION DES OFFRES</w:t>
      </w:r>
    </w:p>
    <w:p>
      <w:pPr>
        <w:pStyle w:val="3"/>
        <w:keepNext/>
        <w:numPr>
          <w:ilvl w:val="0"/>
          <w:numId w:val="13"/>
        </w:numPr>
        <w:spacing w:before="120" w:after="120"/>
        <w:ind w:left="1418" w:hanging="1418"/>
        <w:jc w:val="both"/>
        <w:rPr>
          <w:color w:val="000000"/>
        </w:rPr>
      </w:pPr>
      <w:bookmarkStart w:id="34" w:name="_3ep43zb" w:colFirst="0" w:colLast="0"/>
      <w:bookmarkEnd w:id="34"/>
      <w:r>
        <w:rPr>
          <w:color w:val="000000"/>
          <w:sz w:val="28"/>
          <w:szCs w:val="28"/>
        </w:rPr>
        <w:t>Frais de soumission</w:t>
      </w:r>
    </w:p>
    <w:p>
      <w:pPr>
        <w:pStyle w:val="3"/>
        <w:widowControl w:val="0"/>
        <w:spacing w:after="60" w:line="360" w:lineRule="auto"/>
        <w:jc w:val="both"/>
        <w:rPr>
          <w:b/>
          <w:i/>
          <w:smallCaps/>
        </w:rPr>
      </w:pPr>
      <w: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pPr>
        <w:pStyle w:val="3"/>
        <w:keepNext/>
        <w:numPr>
          <w:ilvl w:val="0"/>
          <w:numId w:val="13"/>
        </w:numPr>
        <w:spacing w:before="120" w:after="120"/>
        <w:ind w:left="1418" w:hanging="1418"/>
        <w:jc w:val="both"/>
        <w:rPr>
          <w:color w:val="000000"/>
        </w:rPr>
      </w:pPr>
      <w:bookmarkStart w:id="35" w:name="_1tuee74" w:colFirst="0" w:colLast="0"/>
      <w:bookmarkEnd w:id="35"/>
      <w:r>
        <w:rPr>
          <w:color w:val="000000"/>
          <w:sz w:val="28"/>
          <w:szCs w:val="28"/>
        </w:rPr>
        <w:t>Langue de l’offre</w:t>
      </w:r>
    </w:p>
    <w:p>
      <w:pPr>
        <w:pStyle w:val="3"/>
        <w:widowControl w:val="0"/>
        <w:spacing w:after="60" w:line="360" w:lineRule="auto"/>
        <w:jc w:val="both"/>
        <w:rPr>
          <w:b/>
          <w:i/>
          <w:smallCaps/>
        </w:rPr>
      </w:pPr>
      <w: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pPr>
        <w:pStyle w:val="3"/>
        <w:keepNext/>
        <w:numPr>
          <w:ilvl w:val="0"/>
          <w:numId w:val="13"/>
        </w:numPr>
        <w:spacing w:before="120" w:after="120"/>
        <w:ind w:left="1418" w:hanging="1418"/>
        <w:jc w:val="both"/>
        <w:rPr>
          <w:color w:val="000000"/>
        </w:rPr>
      </w:pPr>
      <w:bookmarkStart w:id="36" w:name="_4du1wux" w:colFirst="0" w:colLast="0"/>
      <w:bookmarkEnd w:id="36"/>
      <w:r>
        <w:rPr>
          <w:color w:val="000000"/>
          <w:sz w:val="28"/>
          <w:szCs w:val="28"/>
        </w:rPr>
        <w:t>Documents constituant l’offre</w:t>
      </w:r>
    </w:p>
    <w:p>
      <w:pPr>
        <w:pStyle w:val="3"/>
        <w:widowControl w:val="0"/>
        <w:spacing w:after="60" w:line="360" w:lineRule="auto"/>
        <w:jc w:val="both"/>
        <w:rPr>
          <w:b/>
          <w:i/>
          <w:smallCaps/>
        </w:rPr>
      </w:pPr>
      <w:r>
        <w:t>13.1. L’offre présentée par le soumissionnaire comprendra les documents détaillés au RPAO, dûment remplis et regroupés en trois volumes :</w:t>
      </w:r>
    </w:p>
    <w:p>
      <w:pPr>
        <w:pStyle w:val="3"/>
        <w:widowControl w:val="0"/>
        <w:spacing w:after="60" w:line="360" w:lineRule="auto"/>
        <w:jc w:val="both"/>
        <w:rPr>
          <w:b/>
          <w:i/>
          <w:sz w:val="20"/>
          <w:szCs w:val="20"/>
        </w:rPr>
      </w:pPr>
      <w:r>
        <w:rPr>
          <w:i/>
        </w:rPr>
        <w:t xml:space="preserve">a. </w:t>
      </w:r>
      <w:r>
        <w:rPr>
          <w:b/>
          <w:i/>
        </w:rPr>
        <w:t>Volume 1 : Dossier administratif</w:t>
      </w:r>
    </w:p>
    <w:p>
      <w:pPr>
        <w:pStyle w:val="3"/>
        <w:widowControl w:val="0"/>
        <w:spacing w:after="60" w:line="360" w:lineRule="auto"/>
        <w:jc w:val="both"/>
        <w:rPr>
          <w:b/>
          <w:i/>
          <w:smallCaps/>
        </w:rPr>
      </w:pPr>
      <w:r>
        <w:t>Il comprend notamment :</w:t>
      </w:r>
    </w:p>
    <w:p>
      <w:pPr>
        <w:pStyle w:val="3"/>
        <w:widowControl w:val="0"/>
        <w:spacing w:after="60" w:line="360" w:lineRule="auto"/>
        <w:ind w:left="567" w:hanging="283"/>
        <w:jc w:val="both"/>
        <w:rPr>
          <w:b/>
          <w:i/>
          <w:smallCaps/>
        </w:rPr>
      </w:pPr>
      <w:r>
        <w:t xml:space="preserve"> a.1.Tous les documents attestant que le soumissionnaire :</w:t>
      </w:r>
    </w:p>
    <w:p>
      <w:pPr>
        <w:pStyle w:val="3"/>
        <w:widowControl w:val="0"/>
        <w:spacing w:after="60" w:line="360" w:lineRule="auto"/>
        <w:ind w:left="851" w:hanging="284"/>
        <w:jc w:val="both"/>
        <w:rPr>
          <w:b/>
          <w:i/>
          <w:smallCaps/>
        </w:rPr>
      </w:pPr>
      <w:r>
        <w:t>- a souscrit les déclarations prévues par les lois et règlements en vigueur ;</w:t>
      </w:r>
    </w:p>
    <w:p>
      <w:pPr>
        <w:pStyle w:val="3"/>
        <w:widowControl w:val="0"/>
        <w:spacing w:after="60" w:line="360" w:lineRule="auto"/>
        <w:ind w:left="851" w:hanging="284"/>
        <w:jc w:val="both"/>
        <w:rPr>
          <w:b/>
          <w:i/>
          <w:smallCaps/>
        </w:rPr>
      </w:pPr>
      <w:r>
        <w:t>- s’est acquitté des droits, taxes, impôts, cotisations, contributions, redevances ou prélèvements de quelque nature que ce soit ;</w:t>
      </w:r>
    </w:p>
    <w:p>
      <w:pPr>
        <w:pStyle w:val="3"/>
        <w:widowControl w:val="0"/>
        <w:spacing w:after="60" w:line="360" w:lineRule="auto"/>
        <w:ind w:left="851" w:hanging="284"/>
        <w:jc w:val="both"/>
        <w:rPr>
          <w:b/>
          <w:i/>
          <w:smallCaps/>
        </w:rPr>
      </w:pPr>
      <w:r>
        <w:t>-  n’est pas en état de liquidation judiciaire ou en faillite ;</w:t>
      </w:r>
    </w:p>
    <w:p>
      <w:pPr>
        <w:pStyle w:val="3"/>
        <w:widowControl w:val="0"/>
        <w:spacing w:after="60" w:line="360" w:lineRule="auto"/>
        <w:ind w:left="709" w:hanging="142"/>
        <w:jc w:val="both"/>
        <w:rPr>
          <w:b/>
          <w:i/>
          <w:smallCaps/>
        </w:rPr>
      </w:pPr>
      <w:r>
        <w:t>-  n’est pas frappé de l’une des interdictions ou déchéances prévues par les lois et règlements en vigueur, aussi bien au plan national qu’international.</w:t>
      </w:r>
    </w:p>
    <w:p>
      <w:pPr>
        <w:pStyle w:val="3"/>
        <w:widowControl w:val="0"/>
        <w:tabs>
          <w:tab w:val="left" w:pos="3840"/>
        </w:tabs>
        <w:spacing w:after="60" w:line="360" w:lineRule="auto"/>
        <w:ind w:left="567" w:hanging="283"/>
        <w:jc w:val="both"/>
        <w:rPr>
          <w:b/>
          <w:i/>
          <w:smallCaps/>
        </w:rPr>
      </w:pPr>
      <w:r>
        <w:t>a.2. Le cautionnement de soumission établi conformément aux dispositions de l’article 17 du RGAO ;</w:t>
      </w:r>
    </w:p>
    <w:p>
      <w:pPr>
        <w:pStyle w:val="3"/>
        <w:widowControl w:val="0"/>
        <w:spacing w:after="60" w:line="360" w:lineRule="auto"/>
        <w:ind w:left="567" w:hanging="283"/>
        <w:jc w:val="both"/>
        <w:rPr>
          <w:b/>
          <w:i/>
          <w:smallCaps/>
        </w:rPr>
      </w:pPr>
      <w:r>
        <w:t xml:space="preserve"> a.3.L’acte écrit donnant pouvoir au signataire de l’offre d’engager la personne morale soumissionnaire, le cas échéant, conformément aux dispositions de l’article 6.1 du RGAO ;</w:t>
      </w:r>
    </w:p>
    <w:p>
      <w:pPr>
        <w:pStyle w:val="3"/>
        <w:widowControl w:val="0"/>
        <w:spacing w:after="60" w:line="360" w:lineRule="auto"/>
        <w:jc w:val="both"/>
        <w:rPr>
          <w:b/>
          <w:sz w:val="20"/>
          <w:szCs w:val="20"/>
        </w:rPr>
      </w:pPr>
      <w:r>
        <w:rPr>
          <w:b/>
          <w:i/>
        </w:rPr>
        <w:t>b. Volume 2 : Offre technique</w:t>
      </w:r>
    </w:p>
    <w:p>
      <w:pPr>
        <w:pStyle w:val="3"/>
        <w:widowControl w:val="0"/>
        <w:spacing w:after="60" w:line="360" w:lineRule="auto"/>
        <w:jc w:val="both"/>
        <w:rPr>
          <w:b/>
          <w:i/>
          <w:smallCaps/>
        </w:rPr>
      </w:pPr>
      <w:r>
        <w:t>Il comprend notamment :</w:t>
      </w:r>
    </w:p>
    <w:p>
      <w:pPr>
        <w:pStyle w:val="3"/>
        <w:widowControl w:val="0"/>
        <w:spacing w:after="60" w:line="360" w:lineRule="auto"/>
        <w:jc w:val="both"/>
        <w:rPr>
          <w:b/>
          <w:i/>
          <w:smallCaps/>
        </w:rPr>
      </w:pPr>
      <w:r>
        <w:rPr>
          <w:i/>
        </w:rPr>
        <w:t>b.1.</w:t>
      </w:r>
      <w:r>
        <w:rPr>
          <w:b/>
          <w:i/>
        </w:rPr>
        <w:t>Les renseignements sur la qualification</w:t>
      </w:r>
    </w:p>
    <w:p>
      <w:pPr>
        <w:pStyle w:val="3"/>
        <w:widowControl w:val="0"/>
        <w:spacing w:after="60" w:line="360" w:lineRule="auto"/>
        <w:jc w:val="both"/>
        <w:rPr>
          <w:b/>
          <w:i/>
          <w:smallCaps/>
        </w:rPr>
      </w:pPr>
      <w:r>
        <w:t xml:space="preserve">Le RPAO précise la liste des documents à fournir par les soumissionnaires pour justifier les critères de qualification mentionnés à l’article 6.1 du RGAO, notamment les références de l’entreprise, le matériel et la liste du personnel. </w:t>
      </w:r>
    </w:p>
    <w:p>
      <w:pPr>
        <w:pStyle w:val="3"/>
        <w:widowControl w:val="0"/>
        <w:spacing w:after="60" w:line="360" w:lineRule="auto"/>
        <w:jc w:val="both"/>
        <w:rPr>
          <w:b/>
          <w:i/>
          <w:smallCaps/>
        </w:rPr>
      </w:pPr>
      <w:r>
        <w:rPr>
          <w:i/>
        </w:rPr>
        <w:t xml:space="preserve">b.2. </w:t>
      </w:r>
      <w:r>
        <w:rPr>
          <w:b/>
          <w:i/>
        </w:rPr>
        <w:t>La Méthodologie</w:t>
      </w:r>
    </w:p>
    <w:p>
      <w:pPr>
        <w:pStyle w:val="3"/>
        <w:widowControl w:val="0"/>
        <w:tabs>
          <w:tab w:val="left" w:pos="1360"/>
          <w:tab w:val="left" w:pos="2620"/>
          <w:tab w:val="left" w:pos="3240"/>
        </w:tabs>
        <w:spacing w:after="60" w:line="360" w:lineRule="auto"/>
        <w:jc w:val="both"/>
        <w:rPr>
          <w:b/>
          <w:i/>
          <w:smallCaps/>
        </w:rPr>
      </w:pPr>
      <w: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pPr>
        <w:pStyle w:val="3"/>
        <w:widowControl w:val="0"/>
        <w:spacing w:after="60" w:line="360" w:lineRule="auto"/>
        <w:jc w:val="both"/>
        <w:rPr>
          <w:b/>
          <w:i/>
          <w:smallCaps/>
        </w:rPr>
      </w:pPr>
      <w:r>
        <w:rPr>
          <w:i/>
        </w:rPr>
        <w:t xml:space="preserve">b. 3. </w:t>
      </w:r>
      <w:r>
        <w:rPr>
          <w:b/>
          <w:i/>
        </w:rPr>
        <w:t>Les preuves d’acceptation des conditions du marché</w:t>
      </w:r>
    </w:p>
    <w:p>
      <w:pPr>
        <w:pStyle w:val="3"/>
        <w:widowControl w:val="0"/>
        <w:spacing w:after="60" w:line="360" w:lineRule="auto"/>
        <w:jc w:val="both"/>
        <w:rPr>
          <w:b/>
          <w:i/>
          <w:smallCaps/>
        </w:rPr>
      </w:pPr>
      <w:r>
        <w:t>Le soumissionnaire remettra les copies dûment paraphées, renseignées et signées des documents à caractères administratif et technique régissant le marché, à savoir :</w:t>
      </w:r>
    </w:p>
    <w:p>
      <w:pPr>
        <w:pStyle w:val="3"/>
        <w:widowControl w:val="0"/>
        <w:tabs>
          <w:tab w:val="left" w:pos="820"/>
          <w:tab w:val="left" w:pos="1780"/>
          <w:tab w:val="left" w:pos="2440"/>
          <w:tab w:val="left" w:pos="3540"/>
        </w:tabs>
        <w:spacing w:after="60" w:line="360" w:lineRule="auto"/>
        <w:jc w:val="both"/>
        <w:rPr>
          <w:b/>
          <w:i/>
          <w:smallCaps/>
        </w:rPr>
      </w:pPr>
      <w:r>
        <w:t xml:space="preserve"> i. Le Cahier des Clauses Administratives Particulières (CCAP) ;</w:t>
      </w:r>
    </w:p>
    <w:p>
      <w:pPr>
        <w:pStyle w:val="3"/>
        <w:widowControl w:val="0"/>
        <w:spacing w:after="60" w:line="360" w:lineRule="auto"/>
        <w:jc w:val="both"/>
        <w:rPr>
          <w:b/>
          <w:i/>
          <w:smallCaps/>
        </w:rPr>
      </w:pPr>
      <w:r>
        <w:t xml:space="preserve"> ii. Le Cahier des Clauses Techniques Particulières (CCTP).</w:t>
      </w:r>
    </w:p>
    <w:p>
      <w:pPr>
        <w:pStyle w:val="3"/>
        <w:widowControl w:val="0"/>
        <w:spacing w:after="60" w:line="360" w:lineRule="auto"/>
        <w:jc w:val="both"/>
        <w:rPr>
          <w:b/>
          <w:i/>
          <w:sz w:val="20"/>
          <w:szCs w:val="20"/>
        </w:rPr>
      </w:pPr>
      <w:r>
        <w:rPr>
          <w:i/>
        </w:rPr>
        <w:t>b.4.</w:t>
      </w:r>
      <w:r>
        <w:rPr>
          <w:b/>
          <w:i/>
        </w:rPr>
        <w:t>Commentaires CCAP et CCTP (facultatifs)</w:t>
      </w:r>
    </w:p>
    <w:p>
      <w:pPr>
        <w:pStyle w:val="3"/>
        <w:widowControl w:val="0"/>
        <w:spacing w:after="60" w:line="360" w:lineRule="auto"/>
        <w:jc w:val="both"/>
        <w:rPr>
          <w:b/>
          <w:i/>
          <w:smallCaps/>
        </w:rPr>
      </w:pPr>
      <w:r>
        <w:t xml:space="preserve">Les soumissionnaires formuleront un commentaire sur les choix techniques du projet et d’éventuelles propositions. </w:t>
      </w:r>
    </w:p>
    <w:p>
      <w:pPr>
        <w:pStyle w:val="3"/>
        <w:widowControl w:val="0"/>
        <w:spacing w:after="60" w:line="360" w:lineRule="auto"/>
        <w:jc w:val="both"/>
        <w:rPr>
          <w:b/>
          <w:sz w:val="20"/>
          <w:szCs w:val="20"/>
        </w:rPr>
      </w:pPr>
      <w:r>
        <w:rPr>
          <w:b/>
        </w:rPr>
        <w:t xml:space="preserve">b .5. la charte d’intégrité </w:t>
      </w:r>
    </w:p>
    <w:p>
      <w:pPr>
        <w:pStyle w:val="3"/>
        <w:widowControl w:val="0"/>
        <w:spacing w:after="60" w:line="360" w:lineRule="auto"/>
        <w:jc w:val="both"/>
        <w:rPr>
          <w:b/>
          <w:sz w:val="20"/>
          <w:szCs w:val="20"/>
        </w:rPr>
      </w:pPr>
      <w:r>
        <w:rPr>
          <w:b/>
        </w:rPr>
        <w:t>b-6- la déclaration d’engagement au respect des clauses sociales et environnementales</w:t>
      </w:r>
    </w:p>
    <w:p>
      <w:pPr>
        <w:pStyle w:val="3"/>
        <w:widowControl w:val="0"/>
        <w:spacing w:after="60" w:line="360" w:lineRule="auto"/>
        <w:jc w:val="both"/>
        <w:rPr>
          <w:b/>
          <w:sz w:val="20"/>
          <w:szCs w:val="20"/>
        </w:rPr>
      </w:pPr>
      <w:r>
        <w:rPr>
          <w:i/>
        </w:rPr>
        <w:t xml:space="preserve">c. </w:t>
      </w:r>
      <w:r>
        <w:rPr>
          <w:b/>
          <w:i/>
        </w:rPr>
        <w:t>Volume 3 : Offre financière</w:t>
      </w:r>
    </w:p>
    <w:p>
      <w:pPr>
        <w:pStyle w:val="3"/>
        <w:widowControl w:val="0"/>
        <w:spacing w:after="60" w:line="360" w:lineRule="auto"/>
        <w:jc w:val="both"/>
        <w:rPr>
          <w:b/>
          <w:i/>
          <w:smallCaps/>
        </w:rPr>
      </w:pPr>
      <w:r>
        <w:t>Il comprend les éléments permettant de justifier le coût des travaux, à savoir :</w:t>
      </w:r>
    </w:p>
    <w:p>
      <w:pPr>
        <w:pStyle w:val="3"/>
        <w:widowControl w:val="0"/>
        <w:spacing w:after="60" w:line="360" w:lineRule="auto"/>
        <w:jc w:val="both"/>
        <w:rPr>
          <w:b/>
          <w:i/>
          <w:smallCaps/>
        </w:rPr>
      </w:pPr>
      <w:r>
        <w:t>c.1. La soumission proprement dite, en original rédigée selon le modèle ou le formulaire type joint, timbrée au tarif en vigueur, signée et datée ;</w:t>
      </w:r>
    </w:p>
    <w:p>
      <w:pPr>
        <w:pStyle w:val="3"/>
        <w:widowControl w:val="0"/>
        <w:spacing w:after="60" w:line="360" w:lineRule="auto"/>
        <w:jc w:val="both"/>
        <w:rPr>
          <w:b/>
          <w:i/>
          <w:smallCaps/>
        </w:rPr>
      </w:pPr>
      <w:r>
        <w:t>c.2. Le bordereau des prix unitaires dûment rempli ;</w:t>
      </w:r>
    </w:p>
    <w:p>
      <w:pPr>
        <w:pStyle w:val="3"/>
        <w:widowControl w:val="0"/>
        <w:tabs>
          <w:tab w:val="left" w:pos="6675"/>
        </w:tabs>
        <w:spacing w:after="60" w:line="360" w:lineRule="auto"/>
        <w:jc w:val="both"/>
        <w:rPr>
          <w:b/>
          <w:i/>
          <w:smallCaps/>
        </w:rPr>
      </w:pPr>
      <w:r>
        <w:t>c.3. Le détail quantitatif et estimatif dûment rempli ;</w:t>
      </w:r>
      <w:r>
        <w:tab/>
      </w:r>
    </w:p>
    <w:p>
      <w:pPr>
        <w:pStyle w:val="3"/>
        <w:widowControl w:val="0"/>
        <w:spacing w:after="60" w:line="360" w:lineRule="auto"/>
        <w:jc w:val="both"/>
        <w:rPr>
          <w:b/>
          <w:i/>
          <w:smallCaps/>
        </w:rPr>
      </w:pPr>
      <w:r>
        <w:t>c.4. Le sous-détail des prix et/ou la décomposition des prix forfaitaires ;</w:t>
      </w:r>
    </w:p>
    <w:p>
      <w:pPr>
        <w:pStyle w:val="3"/>
        <w:widowControl w:val="0"/>
        <w:spacing w:after="60" w:line="360" w:lineRule="auto"/>
        <w:jc w:val="both"/>
        <w:rPr>
          <w:b/>
          <w:i/>
          <w:smallCaps/>
        </w:rPr>
      </w:pPr>
      <w:bookmarkStart w:id="37" w:name="_2szc72q" w:colFirst="0" w:colLast="0"/>
      <w:bookmarkEnd w:id="37"/>
      <w:r>
        <w:t>c.5. L’échéancier prévisionnel de paiements, le cas échéant.</w:t>
      </w:r>
    </w:p>
    <w:p>
      <w:pPr>
        <w:pStyle w:val="3"/>
        <w:widowControl w:val="0"/>
        <w:spacing w:after="60" w:line="360" w:lineRule="auto"/>
        <w:jc w:val="both"/>
        <w:rPr>
          <w:b/>
          <w:i/>
          <w:smallCaps/>
        </w:rPr>
      </w:pPr>
      <w:r>
        <w:t>Les soumissionnaires utiliseront à cet effet les pièces et modèles ou formulaires types prévus dans le Dossier d’Appel d’Offres, sous réserve des dispositions de l’article 17.2 du RGAO concernant les autres formes possibles de Cautionnement de Soumission.</w:t>
      </w:r>
    </w:p>
    <w:p>
      <w:pPr>
        <w:pStyle w:val="3"/>
        <w:spacing w:after="60" w:line="360" w:lineRule="auto"/>
        <w:jc w:val="both"/>
        <w:rPr>
          <w:b/>
          <w:i/>
          <w:smallCaps/>
        </w:rPr>
      </w:pPr>
      <w: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pPr>
        <w:pStyle w:val="3"/>
        <w:keepNext/>
        <w:numPr>
          <w:ilvl w:val="0"/>
          <w:numId w:val="13"/>
        </w:numPr>
        <w:spacing w:before="120" w:after="120"/>
        <w:ind w:left="1418" w:hanging="1418"/>
        <w:jc w:val="both"/>
        <w:rPr>
          <w:color w:val="000000"/>
        </w:rPr>
      </w:pPr>
      <w:bookmarkStart w:id="38" w:name="_184mhaj" w:colFirst="0" w:colLast="0"/>
      <w:bookmarkEnd w:id="38"/>
      <w:r>
        <w:rPr>
          <w:color w:val="000000"/>
          <w:sz w:val="28"/>
          <w:szCs w:val="28"/>
        </w:rPr>
        <w:t>Montant de l’offre</w:t>
      </w:r>
    </w:p>
    <w:p>
      <w:pPr>
        <w:pStyle w:val="3"/>
        <w:widowControl w:val="0"/>
        <w:spacing w:after="60" w:line="360" w:lineRule="auto"/>
        <w:jc w:val="both"/>
        <w:rPr>
          <w:b/>
          <w:i/>
          <w:smallCaps/>
        </w:rPr>
      </w:pPr>
      <w:bookmarkStart w:id="39" w:name="_3s49zyc" w:colFirst="0" w:colLast="0"/>
      <w:bookmarkEnd w:id="39"/>
      <w:r>
        <w:t>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pPr>
        <w:pStyle w:val="3"/>
        <w:widowControl w:val="0"/>
        <w:spacing w:after="60" w:line="360" w:lineRule="auto"/>
        <w:jc w:val="both"/>
        <w:rPr>
          <w:b/>
          <w:i/>
          <w:smallCaps/>
        </w:rPr>
      </w:pPr>
      <w:bookmarkStart w:id="40" w:name="_279ka65" w:colFirst="0" w:colLast="0"/>
      <w:bookmarkEnd w:id="40"/>
      <w:r>
        <w:t>14.2. Le soumissionnaire remplira les prix unitaires et totaux de tous les postes du bordereau de prix et du Détail quantitatif et estimatif.</w:t>
      </w:r>
    </w:p>
    <w:p>
      <w:pPr>
        <w:pStyle w:val="3"/>
        <w:widowControl w:val="0"/>
        <w:spacing w:after="60" w:line="360" w:lineRule="auto"/>
        <w:jc w:val="both"/>
        <w:rPr>
          <w:b/>
          <w:i/>
          <w:smallCaps/>
        </w:rPr>
      </w:pPr>
      <w:bookmarkStart w:id="41" w:name="_meukdy" w:colFirst="0" w:colLast="0"/>
      <w:bookmarkEnd w:id="41"/>
      <w: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pPr>
        <w:pStyle w:val="3"/>
        <w:widowControl w:val="0"/>
        <w:spacing w:after="60" w:line="360" w:lineRule="auto"/>
        <w:jc w:val="both"/>
        <w:rPr>
          <w:b/>
          <w:i/>
          <w:smallCaps/>
        </w:rPr>
      </w:pPr>
      <w:bookmarkStart w:id="42" w:name="_36ei31r" w:colFirst="0" w:colLast="0"/>
      <w:bookmarkEnd w:id="42"/>
      <w:r>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pPr>
        <w:pStyle w:val="3"/>
        <w:widowControl w:val="0"/>
        <w:spacing w:after="60" w:line="360" w:lineRule="auto"/>
        <w:jc w:val="both"/>
        <w:rPr>
          <w:b/>
          <w:i/>
          <w:smallCaps/>
        </w:rPr>
      </w:pPr>
      <w:bookmarkStart w:id="43" w:name="_1ljsd9k" w:colFirst="0" w:colLast="0"/>
      <w:bookmarkEnd w:id="43"/>
      <w:r>
        <w:t>14.5. Tous les prix unitaires assortis des quantités doivent être justifiés par des sous-détails établis conformément au cadre proposé à la pièce N° 8 du DAO.</w:t>
      </w:r>
    </w:p>
    <w:p>
      <w:pPr>
        <w:pStyle w:val="3"/>
        <w:widowControl w:val="0"/>
        <w:spacing w:after="60" w:line="360" w:lineRule="auto"/>
        <w:jc w:val="both"/>
        <w:rPr>
          <w:b/>
          <w:i/>
          <w:smallCaps/>
        </w:rPr>
      </w:pPr>
      <w:r>
        <w:t>14.6. Les soumissionnaires indiqueront les rabais consentis dans leurs offres. Par ailleurs, ils préciseront les conditions d’application de ce rabais.</w:t>
      </w:r>
    </w:p>
    <w:p>
      <w:pPr>
        <w:pStyle w:val="3"/>
        <w:keepNext/>
        <w:numPr>
          <w:ilvl w:val="0"/>
          <w:numId w:val="13"/>
        </w:numPr>
        <w:spacing w:before="120" w:after="120"/>
        <w:ind w:left="1418" w:hanging="1418"/>
        <w:jc w:val="both"/>
        <w:rPr>
          <w:color w:val="000000"/>
        </w:rPr>
      </w:pPr>
      <w:bookmarkStart w:id="44" w:name="_45jfvxd" w:colFirst="0" w:colLast="0"/>
      <w:bookmarkEnd w:id="44"/>
      <w:r>
        <w:rPr>
          <w:color w:val="000000"/>
          <w:sz w:val="28"/>
          <w:szCs w:val="28"/>
        </w:rPr>
        <w:t>Monnaies de soumission et de règlement</w:t>
      </w:r>
    </w:p>
    <w:p>
      <w:pPr>
        <w:pStyle w:val="3"/>
        <w:widowControl w:val="0"/>
        <w:spacing w:after="60" w:line="360" w:lineRule="auto"/>
        <w:jc w:val="both"/>
        <w:rPr>
          <w:b/>
          <w:i/>
          <w:smallCaps/>
        </w:rPr>
      </w:pPr>
      <w:r>
        <w:t>15.1. En cas d’Appels d’Offres Internationaux, les monnaies de l’offre doivent suivre les dispositions soit de l’Option A ou de l’Option B ci-dessous; l’option applicable étant celle retenue dans le RPAO.</w:t>
      </w:r>
    </w:p>
    <w:p>
      <w:pPr>
        <w:pStyle w:val="3"/>
        <w:widowControl w:val="0"/>
        <w:spacing w:after="60" w:line="360" w:lineRule="auto"/>
        <w:jc w:val="both"/>
        <w:rPr>
          <w:b/>
          <w:i/>
          <w:smallCaps/>
        </w:rPr>
      </w:pPr>
      <w:r>
        <w:t>15.2. Option A : le montant de la soumission est libellé entièrement en monnaie nationale</w:t>
      </w:r>
    </w:p>
    <w:p>
      <w:pPr>
        <w:pStyle w:val="3"/>
        <w:widowControl w:val="0"/>
        <w:spacing w:after="60" w:line="360" w:lineRule="auto"/>
        <w:jc w:val="both"/>
        <w:rPr>
          <w:b/>
          <w:i/>
          <w:smallCaps/>
        </w:rPr>
      </w:pPr>
      <w:r>
        <w:t>Le montant de la soumission, les prix unitaires du bordereau des prix et les prix du détail quantitatif et estimatif sont libellés entièrement en francs CFA de la manière suivante:</w:t>
      </w:r>
    </w:p>
    <w:p>
      <w:pPr>
        <w:pStyle w:val="3"/>
        <w:widowControl w:val="0"/>
        <w:spacing w:after="60" w:line="360" w:lineRule="auto"/>
        <w:ind w:left="567"/>
        <w:jc w:val="both"/>
        <w:rPr>
          <w:b/>
          <w:i/>
          <w:smallCaps/>
        </w:rPr>
      </w:pPr>
      <w: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pPr>
        <w:pStyle w:val="3"/>
        <w:widowControl w:val="0"/>
        <w:tabs>
          <w:tab w:val="left" w:pos="940"/>
          <w:tab w:val="left" w:pos="1660"/>
          <w:tab w:val="left" w:pos="2220"/>
          <w:tab w:val="left" w:pos="3260"/>
          <w:tab w:val="left" w:pos="4260"/>
          <w:tab w:val="left" w:pos="4900"/>
        </w:tabs>
        <w:spacing w:after="60" w:line="360" w:lineRule="auto"/>
        <w:ind w:left="567"/>
        <w:jc w:val="both"/>
        <w:rPr>
          <w:b/>
          <w:i/>
          <w:smallCaps/>
        </w:rPr>
      </w:pPr>
      <w: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pPr>
        <w:pStyle w:val="3"/>
        <w:widowControl w:val="0"/>
        <w:spacing w:after="60" w:line="360" w:lineRule="auto"/>
        <w:jc w:val="both"/>
        <w:rPr>
          <w:b/>
          <w:i/>
          <w:smallCaps/>
        </w:rPr>
      </w:pPr>
      <w:r>
        <w:t>15.3. Option B : Le montant de la soumission est directement libellé en monnaie nationale et étrangère.</w:t>
      </w:r>
    </w:p>
    <w:p>
      <w:pPr>
        <w:pStyle w:val="3"/>
        <w:widowControl w:val="0"/>
        <w:spacing w:after="60" w:line="360" w:lineRule="auto"/>
        <w:jc w:val="both"/>
        <w:rPr>
          <w:b/>
          <w:i/>
          <w:smallCaps/>
        </w:rPr>
      </w:pPr>
      <w:r>
        <w:t>Le soumissionnaire libellera les Prix Unitaires du Bordereau des Prix et les Prix du Détail Quantitatif et Estimatif de la manière suivante :</w:t>
      </w:r>
    </w:p>
    <w:p>
      <w:pPr>
        <w:pStyle w:val="3"/>
        <w:widowControl w:val="0"/>
        <w:spacing w:after="60" w:line="360" w:lineRule="auto"/>
        <w:ind w:left="567"/>
        <w:jc w:val="both"/>
        <w:rPr>
          <w:b/>
          <w:i/>
          <w:smallCaps/>
        </w:rPr>
      </w:pPr>
      <w:r>
        <w:t>a. Les prix des intrants nécessaires aux travaux, que le Soumissionnaire compte se procurer dans le pays du Maître d’Ouvrage ou du Maître d’Ouvrage Délégué seront libellés en francs CFA tels que spécifié au RPAO et dénommée “monnaie nationale”.</w:t>
      </w:r>
    </w:p>
    <w:p>
      <w:pPr>
        <w:pStyle w:val="3"/>
        <w:widowControl w:val="0"/>
        <w:spacing w:after="60" w:line="360" w:lineRule="auto"/>
        <w:ind w:left="567"/>
        <w:jc w:val="both"/>
        <w:rPr>
          <w:b/>
          <w:i/>
          <w:smallCaps/>
        </w:rPr>
      </w:pPr>
      <w: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pPr>
        <w:pStyle w:val="3"/>
        <w:widowControl w:val="0"/>
        <w:spacing w:after="60" w:line="360" w:lineRule="auto"/>
        <w:jc w:val="both"/>
        <w:rPr>
          <w:b/>
          <w:i/>
          <w:smallCaps/>
        </w:rPr>
      </w:pPr>
      <w: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pPr>
        <w:pStyle w:val="3"/>
        <w:widowControl w:val="0"/>
        <w:spacing w:after="60" w:line="360" w:lineRule="auto"/>
        <w:jc w:val="both"/>
        <w:rPr>
          <w:b/>
          <w:i/>
          <w:smallCaps/>
        </w:rPr>
      </w:pPr>
      <w: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pPr>
        <w:pStyle w:val="3"/>
        <w:keepNext/>
        <w:numPr>
          <w:ilvl w:val="0"/>
          <w:numId w:val="13"/>
        </w:numPr>
        <w:spacing w:before="120" w:after="120"/>
        <w:ind w:left="1418" w:hanging="1418"/>
        <w:jc w:val="both"/>
        <w:rPr>
          <w:color w:val="000000"/>
        </w:rPr>
      </w:pPr>
      <w:bookmarkStart w:id="45" w:name="_2koq656" w:colFirst="0" w:colLast="0"/>
      <w:bookmarkEnd w:id="45"/>
      <w:r>
        <w:rPr>
          <w:color w:val="000000"/>
          <w:sz w:val="28"/>
          <w:szCs w:val="28"/>
        </w:rPr>
        <w:t>Validité des offres</w:t>
      </w:r>
    </w:p>
    <w:p>
      <w:pPr>
        <w:pStyle w:val="3"/>
        <w:widowControl w:val="0"/>
        <w:spacing w:after="60" w:line="360" w:lineRule="auto"/>
        <w:jc w:val="both"/>
        <w:rPr>
          <w:b/>
          <w:i/>
          <w:smallCaps/>
        </w:rPr>
      </w:pPr>
      <w: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pPr>
        <w:pStyle w:val="3"/>
        <w:widowControl w:val="0"/>
        <w:spacing w:after="60" w:line="360" w:lineRule="auto"/>
        <w:jc w:val="both"/>
        <w:rPr>
          <w:b/>
          <w:i/>
          <w:smallCaps/>
        </w:rPr>
      </w:pPr>
      <w: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pPr>
        <w:pStyle w:val="3"/>
        <w:widowControl w:val="0"/>
        <w:tabs>
          <w:tab w:val="left" w:pos="800"/>
          <w:tab w:val="left" w:pos="2000"/>
          <w:tab w:val="left" w:pos="3220"/>
          <w:tab w:val="left" w:pos="3960"/>
        </w:tabs>
        <w:spacing w:after="60" w:line="360" w:lineRule="auto"/>
        <w:jc w:val="both"/>
        <w:rPr>
          <w:b/>
          <w:i/>
          <w:smallCaps/>
        </w:rPr>
      </w:pPr>
      <w: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pPr>
        <w:pStyle w:val="3"/>
        <w:widowControl w:val="0"/>
        <w:tabs>
          <w:tab w:val="left" w:pos="800"/>
          <w:tab w:val="left" w:pos="2000"/>
          <w:tab w:val="left" w:pos="3220"/>
          <w:tab w:val="left" w:pos="3960"/>
        </w:tabs>
        <w:spacing w:after="60" w:line="360" w:lineRule="auto"/>
        <w:jc w:val="both"/>
        <w:rPr>
          <w:b/>
          <w:i/>
          <w:smallCaps/>
        </w:rPr>
      </w:pPr>
      <w: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pPr>
        <w:pStyle w:val="3"/>
        <w:keepNext/>
        <w:numPr>
          <w:ilvl w:val="0"/>
          <w:numId w:val="13"/>
        </w:numPr>
        <w:spacing w:before="120" w:after="120"/>
        <w:ind w:left="1418" w:hanging="1418"/>
        <w:jc w:val="both"/>
        <w:rPr>
          <w:color w:val="000000"/>
        </w:rPr>
      </w:pPr>
      <w:bookmarkStart w:id="46" w:name="_zu0gcz" w:colFirst="0" w:colLast="0"/>
      <w:bookmarkEnd w:id="46"/>
      <w:r>
        <w:rPr>
          <w:color w:val="000000"/>
          <w:sz w:val="28"/>
          <w:szCs w:val="28"/>
        </w:rPr>
        <w:t>Cautionnement de soumission</w:t>
      </w:r>
    </w:p>
    <w:p>
      <w:pPr>
        <w:pStyle w:val="3"/>
        <w:widowControl w:val="0"/>
        <w:spacing w:after="60" w:line="360" w:lineRule="auto"/>
        <w:jc w:val="both"/>
        <w:rPr>
          <w:b/>
          <w:i/>
          <w:smallCaps/>
        </w:rPr>
      </w:pPr>
      <w:r>
        <w:t>17.1. En application de l'article 13 du RGAO, le soumissionnaire fournira un cautionnement de soumission du montant spécifié dans le Règlement Particulier de l'Appel d'Offres, et qui fera partie intégrante de son offre.</w:t>
      </w:r>
    </w:p>
    <w:p>
      <w:pPr>
        <w:pStyle w:val="3"/>
        <w:widowControl w:val="0"/>
        <w:spacing w:after="60" w:line="360" w:lineRule="auto"/>
        <w:jc w:val="both"/>
        <w:rPr>
          <w:b/>
          <w:i/>
          <w:smallCaps/>
        </w:rPr>
      </w:pPr>
      <w:r>
        <w:t>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pPr>
        <w:pStyle w:val="3"/>
        <w:widowControl w:val="0"/>
        <w:spacing w:after="60" w:line="360" w:lineRule="auto"/>
        <w:jc w:val="both"/>
        <w:rPr>
          <w:b/>
          <w:i/>
          <w:smallCaps/>
        </w:rPr>
      </w:pPr>
      <w:r>
        <w:t>Pour les prestations relevant des lettres commandes, les chèques certifiés et les chèques-banques sont admis au titre du cautionnement de soumission.</w:t>
      </w:r>
    </w:p>
    <w:p>
      <w:pPr>
        <w:pStyle w:val="3"/>
        <w:widowControl w:val="0"/>
        <w:tabs>
          <w:tab w:val="left" w:pos="1560"/>
          <w:tab w:val="left" w:pos="2140"/>
          <w:tab w:val="left" w:pos="3380"/>
          <w:tab w:val="left" w:pos="3820"/>
          <w:tab w:val="left" w:pos="4820"/>
        </w:tabs>
        <w:spacing w:after="60" w:line="360" w:lineRule="auto"/>
        <w:jc w:val="both"/>
        <w:rPr>
          <w:b/>
          <w:i/>
          <w:smallCaps/>
        </w:rPr>
      </w:pPr>
      <w:r>
        <w:t>17.3. Toute offre non accompagnée d’un cautionnement de soumission acceptable sera rejetée par la Commission de Passation des Marchés comme incomplète. Le cautionnement de soumission d’un groupement d’entreprises doit être établi au nom du mandataire soumettant l’offre.</w:t>
      </w:r>
    </w:p>
    <w:p>
      <w:pPr>
        <w:pStyle w:val="3"/>
        <w:widowControl w:val="0"/>
        <w:tabs>
          <w:tab w:val="left" w:pos="1560"/>
          <w:tab w:val="left" w:pos="2140"/>
          <w:tab w:val="left" w:pos="3380"/>
          <w:tab w:val="left" w:pos="3820"/>
          <w:tab w:val="left" w:pos="4820"/>
        </w:tabs>
        <w:spacing w:after="60" w:line="360" w:lineRule="auto"/>
        <w:jc w:val="both"/>
        <w:rPr>
          <w:b/>
          <w:i/>
          <w:smallCaps/>
        </w:rPr>
      </w:pPr>
      <w: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pPr>
        <w:pStyle w:val="3"/>
        <w:widowControl w:val="0"/>
        <w:tabs>
          <w:tab w:val="left" w:pos="1560"/>
          <w:tab w:val="left" w:pos="2140"/>
          <w:tab w:val="left" w:pos="3380"/>
          <w:tab w:val="left" w:pos="3820"/>
          <w:tab w:val="left" w:pos="4820"/>
        </w:tabs>
        <w:spacing w:after="60" w:line="360" w:lineRule="auto"/>
        <w:jc w:val="both"/>
        <w:rPr>
          <w:b/>
          <w:i/>
          <w:smallCaps/>
        </w:rPr>
      </w:pPr>
      <w:r>
        <w:t>17.5. Le cautionnement de soumission des soumissionnaires non retenus sont restitués dès publication des résultats d’attribution.</w:t>
      </w:r>
    </w:p>
    <w:p>
      <w:pPr>
        <w:pStyle w:val="3"/>
        <w:widowControl w:val="0"/>
        <w:spacing w:after="60" w:line="360" w:lineRule="auto"/>
        <w:jc w:val="both"/>
        <w:rPr>
          <w:b/>
          <w:i/>
          <w:smallCaps/>
        </w:rPr>
      </w:pPr>
      <w:r>
        <w:t>17. 6. Le cautionnement de soumission de l’attributaire du Marché sera libéré dès que ce dernier aura fourni le cautionnement définitif requis.</w:t>
      </w:r>
    </w:p>
    <w:p>
      <w:pPr>
        <w:pStyle w:val="3"/>
        <w:widowControl w:val="0"/>
        <w:spacing w:after="60" w:line="360" w:lineRule="auto"/>
        <w:jc w:val="both"/>
        <w:rPr>
          <w:b/>
          <w:i/>
          <w:smallCaps/>
        </w:rPr>
      </w:pPr>
      <w:r>
        <w:t>17. 7. Le cautionnement de soumission peut être saisi :</w:t>
      </w:r>
    </w:p>
    <w:p>
      <w:pPr>
        <w:pStyle w:val="3"/>
        <w:widowControl w:val="0"/>
        <w:spacing w:after="60" w:line="360" w:lineRule="auto"/>
        <w:ind w:firstLine="720"/>
        <w:jc w:val="both"/>
        <w:rPr>
          <w:b/>
          <w:i/>
          <w:smallCaps/>
        </w:rPr>
      </w:pPr>
      <w:r>
        <w:t>a. Si le soumissionnaire retire son offre durant la période de validité ;</w:t>
      </w:r>
    </w:p>
    <w:p>
      <w:pPr>
        <w:pStyle w:val="3"/>
        <w:widowControl w:val="0"/>
        <w:spacing w:after="60" w:line="360" w:lineRule="auto"/>
        <w:ind w:firstLine="720"/>
        <w:jc w:val="both"/>
        <w:rPr>
          <w:b/>
          <w:i/>
          <w:smallCaps/>
        </w:rPr>
      </w:pPr>
      <w:r>
        <w:t>b. Si, le soumissionnaire retenu :</w:t>
      </w:r>
    </w:p>
    <w:p>
      <w:pPr>
        <w:pStyle w:val="3"/>
        <w:widowControl w:val="0"/>
        <w:spacing w:after="60" w:line="360" w:lineRule="auto"/>
        <w:ind w:left="567" w:hanging="283"/>
        <w:jc w:val="both"/>
        <w:rPr>
          <w:b/>
          <w:i/>
          <w:smallCaps/>
        </w:rPr>
      </w:pPr>
      <w:r>
        <w:t xml:space="preserve">i. Manque à son obligation de souscrire le marché en application de l’article 38 du RGAO ; </w:t>
      </w:r>
    </w:p>
    <w:p>
      <w:pPr>
        <w:pStyle w:val="3"/>
        <w:widowControl w:val="0"/>
        <w:spacing w:after="60" w:line="360" w:lineRule="auto"/>
        <w:ind w:left="567" w:hanging="283"/>
        <w:jc w:val="both"/>
        <w:rPr>
          <w:b/>
          <w:i/>
          <w:smallCaps/>
        </w:rPr>
      </w:pPr>
      <w:r>
        <w:t xml:space="preserve">ii. Manque à son obligation de fournir le cautionnement définitif en application de l’article 39 du RGAO ;  </w:t>
      </w:r>
    </w:p>
    <w:p>
      <w:pPr>
        <w:pStyle w:val="3"/>
        <w:widowControl w:val="0"/>
        <w:spacing w:after="60" w:line="360" w:lineRule="auto"/>
        <w:ind w:left="567" w:hanging="283"/>
        <w:jc w:val="both"/>
        <w:rPr>
          <w:b/>
          <w:i/>
          <w:smallCaps/>
        </w:rPr>
      </w:pPr>
      <w:r>
        <w:t xml:space="preserve">iii.  Refuse de recevoir notification du marché. </w:t>
      </w:r>
    </w:p>
    <w:p>
      <w:pPr>
        <w:pStyle w:val="3"/>
        <w:keepNext/>
        <w:numPr>
          <w:ilvl w:val="0"/>
          <w:numId w:val="13"/>
        </w:numPr>
        <w:spacing w:before="120" w:after="120"/>
        <w:ind w:left="1418" w:hanging="1418"/>
        <w:jc w:val="both"/>
        <w:rPr>
          <w:color w:val="000000"/>
        </w:rPr>
      </w:pPr>
      <w:bookmarkStart w:id="47" w:name="_3jtnz0s" w:colFirst="0" w:colLast="0"/>
      <w:bookmarkEnd w:id="47"/>
      <w:r>
        <w:rPr>
          <w:color w:val="000000"/>
          <w:sz w:val="28"/>
          <w:szCs w:val="28"/>
        </w:rPr>
        <w:t>Propositions variantes des soumissionnaires</w:t>
      </w:r>
    </w:p>
    <w:p>
      <w:pPr>
        <w:pStyle w:val="3"/>
        <w:widowControl w:val="0"/>
        <w:spacing w:after="60" w:line="360" w:lineRule="auto"/>
        <w:jc w:val="both"/>
        <w:rPr>
          <w:b/>
          <w:i/>
          <w:smallCaps/>
        </w:rPr>
      </w:pPr>
      <w: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pPr>
        <w:pStyle w:val="3"/>
        <w:widowControl w:val="0"/>
        <w:spacing w:after="60" w:line="360" w:lineRule="auto"/>
        <w:jc w:val="both"/>
        <w:rPr>
          <w:b/>
          <w:i/>
          <w:smallCaps/>
        </w:rPr>
      </w:pPr>
      <w: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pPr>
        <w:pStyle w:val="3"/>
        <w:widowControl w:val="0"/>
        <w:spacing w:after="60" w:line="360" w:lineRule="auto"/>
        <w:jc w:val="both"/>
        <w:rPr>
          <w:b/>
          <w:i/>
          <w:smallCaps/>
        </w:rPr>
      </w:pPr>
      <w: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pPr>
        <w:pStyle w:val="3"/>
        <w:keepNext/>
        <w:numPr>
          <w:ilvl w:val="0"/>
          <w:numId w:val="13"/>
        </w:numPr>
        <w:spacing w:before="120" w:after="120"/>
        <w:ind w:left="1418" w:hanging="1418"/>
        <w:jc w:val="both"/>
        <w:rPr>
          <w:color w:val="000000"/>
        </w:rPr>
      </w:pPr>
      <w:bookmarkStart w:id="48" w:name="_1yyy98l" w:colFirst="0" w:colLast="0"/>
      <w:bookmarkEnd w:id="48"/>
      <w:r>
        <w:rPr>
          <w:color w:val="000000"/>
          <w:sz w:val="28"/>
          <w:szCs w:val="28"/>
        </w:rPr>
        <w:t>Réunion préparatoire à l’établissement des offres</w:t>
      </w:r>
    </w:p>
    <w:p>
      <w:pPr>
        <w:pStyle w:val="3"/>
        <w:widowControl w:val="0"/>
        <w:spacing w:after="60" w:line="360" w:lineRule="auto"/>
        <w:jc w:val="both"/>
        <w:rPr>
          <w:b/>
          <w:i/>
          <w:smallCaps/>
        </w:rPr>
      </w:pPr>
      <w:r>
        <w:t>19.1. A moins que, le RPAO n’en dispose autrement, le Soumissionnaire peut être invité à assister à une réunion préparatoire, qui se tiendra aux lieu et date indiqués dans le RPAO.</w:t>
      </w:r>
    </w:p>
    <w:p>
      <w:pPr>
        <w:pStyle w:val="3"/>
        <w:widowControl w:val="0"/>
        <w:spacing w:after="60" w:line="360" w:lineRule="auto"/>
        <w:jc w:val="both"/>
        <w:rPr>
          <w:b/>
          <w:i/>
          <w:smallCaps/>
        </w:rPr>
      </w:pPr>
      <w:r>
        <w:t>19.2. La réunion préparatoire aura pour objet de fournir des éclaircissements et réponses à toute question qui pourrait être soulevée à ce stade.</w:t>
      </w:r>
    </w:p>
    <w:p>
      <w:pPr>
        <w:pStyle w:val="3"/>
        <w:widowControl w:val="0"/>
        <w:spacing w:after="60" w:line="360" w:lineRule="auto"/>
        <w:jc w:val="both"/>
        <w:rPr>
          <w:b/>
          <w:i/>
          <w:smallCaps/>
        </w:rPr>
      </w:pPr>
      <w: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pPr>
        <w:pStyle w:val="3"/>
        <w:widowControl w:val="0"/>
        <w:spacing w:after="60" w:line="360" w:lineRule="auto"/>
        <w:jc w:val="both"/>
        <w:rPr>
          <w:b/>
          <w:i/>
          <w:smallCaps/>
        </w:rPr>
      </w:pPr>
      <w: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pPr>
        <w:pStyle w:val="3"/>
        <w:widowControl w:val="0"/>
        <w:spacing w:after="60" w:line="360" w:lineRule="auto"/>
        <w:jc w:val="both"/>
        <w:rPr>
          <w:b/>
          <w:i/>
          <w:smallCaps/>
        </w:rPr>
      </w:pPr>
      <w:r>
        <w:t>19.5. Le fait qu’un soumissionnaire n’assiste pas à la réunion préparatoire à l’établissement des offres ne sera pas un motif de disqualification.</w:t>
      </w:r>
    </w:p>
    <w:p>
      <w:pPr>
        <w:pStyle w:val="3"/>
        <w:keepNext/>
        <w:numPr>
          <w:ilvl w:val="0"/>
          <w:numId w:val="13"/>
        </w:numPr>
        <w:spacing w:before="120" w:after="120"/>
        <w:ind w:left="1418" w:hanging="1418"/>
        <w:jc w:val="both"/>
        <w:rPr>
          <w:color w:val="000000"/>
        </w:rPr>
      </w:pPr>
      <w:bookmarkStart w:id="49" w:name="_4iylrwe" w:colFirst="0" w:colLast="0"/>
      <w:bookmarkEnd w:id="49"/>
      <w:r>
        <w:rPr>
          <w:color w:val="000000"/>
          <w:sz w:val="28"/>
          <w:szCs w:val="28"/>
        </w:rPr>
        <w:t>Forme, Format et signature de l’offre</w:t>
      </w:r>
    </w:p>
    <w:p>
      <w:pPr>
        <w:pStyle w:val="3"/>
        <w:widowControl w:val="0"/>
        <w:spacing w:after="60" w:line="360" w:lineRule="auto"/>
        <w:jc w:val="both"/>
        <w:rPr>
          <w:b/>
          <w:i/>
          <w:smallCaps/>
        </w:rPr>
      </w:pPr>
      <w:r>
        <w:t>Pour la soumission hors ligne,</w:t>
      </w:r>
    </w:p>
    <w:p>
      <w:pPr>
        <w:pStyle w:val="3"/>
        <w:widowControl w:val="0"/>
        <w:spacing w:after="60" w:line="360" w:lineRule="auto"/>
        <w:jc w:val="both"/>
        <w:rPr>
          <w:b/>
          <w:i/>
          <w:smallCaps/>
        </w:rPr>
      </w:pPr>
      <w: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pPr>
        <w:pStyle w:val="3"/>
        <w:widowControl w:val="0"/>
        <w:tabs>
          <w:tab w:val="left" w:pos="1940"/>
          <w:tab w:val="left" w:pos="2440"/>
          <w:tab w:val="left" w:pos="3420"/>
          <w:tab w:val="left" w:pos="4020"/>
          <w:tab w:val="left" w:pos="4820"/>
        </w:tabs>
        <w:spacing w:after="60" w:line="360" w:lineRule="auto"/>
        <w:jc w:val="both"/>
        <w:rPr>
          <w:b/>
          <w:i/>
          <w:smallCaps/>
        </w:rPr>
      </w:pPr>
      <w: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pPr>
        <w:pStyle w:val="3"/>
        <w:widowControl w:val="0"/>
        <w:spacing w:after="60" w:line="360" w:lineRule="auto"/>
        <w:jc w:val="both"/>
        <w:rPr>
          <w:b/>
          <w:i/>
          <w:smallCaps/>
        </w:rPr>
      </w:pPr>
      <w:r>
        <w:t>20.3. L’offre ne doit comporter aucune modification, suppression ni surcharge, à moins que de telles corrections ne soient paraphées par le ou les signataires de la soumission.</w:t>
      </w:r>
    </w:p>
    <w:p>
      <w:pPr>
        <w:pStyle w:val="3"/>
        <w:widowControl w:val="0"/>
        <w:spacing w:after="60" w:line="360" w:lineRule="auto"/>
        <w:ind w:right="95"/>
        <w:jc w:val="both"/>
        <w:rPr>
          <w:b/>
          <w:i/>
          <w:smallCaps/>
        </w:rPr>
      </w:pPr>
      <w:r>
        <w:t>Pour la soumission par voie électronique.</w:t>
      </w:r>
    </w:p>
    <w:p>
      <w:pPr>
        <w:pStyle w:val="3"/>
        <w:widowControl w:val="0"/>
        <w:spacing w:after="60" w:line="360" w:lineRule="auto"/>
        <w:ind w:right="-20"/>
        <w:jc w:val="both"/>
        <w:rPr>
          <w:b/>
          <w:i/>
          <w:smallCaps/>
        </w:rPr>
      </w:pPr>
      <w: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pPr>
        <w:pStyle w:val="3"/>
        <w:widowControl w:val="0"/>
        <w:spacing w:after="60" w:line="360" w:lineRule="auto"/>
        <w:ind w:right="95"/>
        <w:jc w:val="both"/>
        <w:rPr>
          <w:b/>
          <w:i/>
          <w:smallCaps/>
        </w:rPr>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pPr>
        <w:pStyle w:val="3"/>
        <w:widowControl w:val="0"/>
        <w:spacing w:after="60" w:line="360" w:lineRule="auto"/>
        <w:ind w:right="95"/>
        <w:jc w:val="both"/>
        <w:rPr>
          <w:b/>
          <w:i/>
          <w:smallCaps/>
        </w:rPr>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pPr>
        <w:pStyle w:val="3"/>
        <w:widowControl w:val="0"/>
        <w:spacing w:after="60" w:line="360" w:lineRule="auto"/>
        <w:ind w:right="95"/>
        <w:jc w:val="both"/>
        <w:rPr>
          <w:b/>
          <w:i/>
          <w:smallCaps/>
        </w:rPr>
      </w:pPr>
      <w:r>
        <w:t>20.7. Les documents et pièces transmis dans la plateforme COLEPS sont revêtus d’une signature électronique à travers l’usage du certificat.</w:t>
      </w:r>
    </w:p>
    <w:p>
      <w:pPr>
        <w:pStyle w:val="3"/>
        <w:keepNext/>
        <w:numPr>
          <w:ilvl w:val="0"/>
          <w:numId w:val="12"/>
        </w:numPr>
        <w:ind w:left="714" w:hanging="357"/>
        <w:jc w:val="center"/>
        <w:rPr>
          <w:smallCaps/>
          <w:color w:val="000000"/>
          <w:sz w:val="32"/>
          <w:szCs w:val="32"/>
        </w:rPr>
      </w:pPr>
      <w:bookmarkStart w:id="50" w:name="_2y3w247" w:colFirst="0" w:colLast="0"/>
      <w:bookmarkEnd w:id="50"/>
      <w:r>
        <w:rPr>
          <w:smallCaps/>
          <w:color w:val="000000"/>
          <w:sz w:val="32"/>
          <w:szCs w:val="32"/>
        </w:rPr>
        <w:t>DÉPÔT DES OFFRES</w:t>
      </w:r>
    </w:p>
    <w:p>
      <w:pPr>
        <w:pStyle w:val="3"/>
        <w:keepNext/>
        <w:numPr>
          <w:ilvl w:val="0"/>
          <w:numId w:val="13"/>
        </w:numPr>
        <w:spacing w:before="120" w:after="120"/>
        <w:ind w:left="1418" w:hanging="1418"/>
        <w:jc w:val="both"/>
        <w:rPr>
          <w:color w:val="000000"/>
        </w:rPr>
      </w:pPr>
      <w:bookmarkStart w:id="51" w:name="_1d96cc0" w:colFirst="0" w:colLast="0"/>
      <w:bookmarkEnd w:id="51"/>
      <w:r>
        <w:rPr>
          <w:color w:val="000000"/>
          <w:sz w:val="28"/>
          <w:szCs w:val="28"/>
        </w:rPr>
        <w:t>Cachetage et marquage des offres</w:t>
      </w:r>
    </w:p>
    <w:p>
      <w:pPr>
        <w:pStyle w:val="3"/>
        <w:widowControl w:val="0"/>
        <w:spacing w:after="60" w:line="360" w:lineRule="auto"/>
        <w:jc w:val="both"/>
        <w:rPr>
          <w:sz w:val="20"/>
          <w:szCs w:val="20"/>
        </w:rPr>
      </w:pPr>
      <w: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pPr>
        <w:pStyle w:val="3"/>
        <w:widowControl w:val="0"/>
        <w:spacing w:after="60" w:line="360" w:lineRule="auto"/>
        <w:jc w:val="both"/>
        <w:rPr>
          <w:b/>
          <w:i/>
          <w:smallCaps/>
        </w:rPr>
      </w:pPr>
      <w:r>
        <w:t>Les différentes pièces de chaque volume seront numérotées dans l’ordre du RPAO et séparées par un intercalaire de couleur autre que le blanc.</w:t>
      </w:r>
    </w:p>
    <w:p>
      <w:pPr>
        <w:pStyle w:val="3"/>
        <w:widowControl w:val="0"/>
        <w:spacing w:after="60" w:line="360" w:lineRule="auto"/>
        <w:jc w:val="both"/>
        <w:rPr>
          <w:b/>
          <w:i/>
          <w:smallCaps/>
        </w:rPr>
      </w:pPr>
      <w:r>
        <w:t>21.2. Les enveloppes intérieures et extérieures :</w:t>
      </w:r>
    </w:p>
    <w:p>
      <w:pPr>
        <w:pStyle w:val="3"/>
        <w:widowControl w:val="0"/>
        <w:spacing w:after="60" w:line="360" w:lineRule="auto"/>
        <w:ind w:left="426"/>
        <w:jc w:val="both"/>
        <w:rPr>
          <w:b/>
          <w:i/>
          <w:smallCaps/>
        </w:rPr>
      </w:pPr>
      <w:r>
        <w:t>a. Seront adressées au Maître d’Ouvrage ou au Maître d’Ouvrage Délégué à l’adresse indiquée dans le Règlement Particulier de l'Appel d'Offres ;</w:t>
      </w:r>
    </w:p>
    <w:p>
      <w:pPr>
        <w:pStyle w:val="3"/>
        <w:widowControl w:val="0"/>
        <w:spacing w:after="60" w:line="360" w:lineRule="auto"/>
        <w:ind w:left="426"/>
        <w:jc w:val="both"/>
        <w:rPr>
          <w:b/>
          <w:i/>
          <w:smallCaps/>
        </w:rPr>
      </w:pPr>
      <w:r>
        <w:t>b. Porteront le nom du projet ainsi que l’objet et le numéro de l’Avis d’Appel d’Offres indiqués dans le RPAO, et la mention “A N'OUVRIR QU'EN SEANCE DE DEPOUILLEMENT”.</w:t>
      </w:r>
    </w:p>
    <w:p>
      <w:pPr>
        <w:pStyle w:val="3"/>
        <w:widowControl w:val="0"/>
        <w:tabs>
          <w:tab w:val="left" w:pos="1780"/>
          <w:tab w:val="left" w:pos="2300"/>
          <w:tab w:val="left" w:pos="3100"/>
          <w:tab w:val="left" w:pos="3660"/>
          <w:tab w:val="left" w:pos="4940"/>
        </w:tabs>
        <w:spacing w:after="60" w:line="360" w:lineRule="auto"/>
        <w:jc w:val="both"/>
        <w:rPr>
          <w:b/>
          <w:i/>
          <w:smallCaps/>
        </w:rPr>
      </w:pPr>
      <w: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pPr>
        <w:pStyle w:val="3"/>
        <w:widowControl w:val="0"/>
        <w:spacing w:after="60" w:line="360" w:lineRule="auto"/>
        <w:jc w:val="both"/>
        <w:rPr>
          <w:b/>
          <w:i/>
          <w:smallCaps/>
        </w:rPr>
      </w:pPr>
      <w:r>
        <w:t>21.4. Si l’enveloppe extérieure n’est pas scellée et marquée comme indiqué aux articles 21.1 et 21.2 susvisés, le Maître d’Ouvrage ou le Maître d’Ouvrage Délégué ne sera nullement responsable si l’offre est égarée ou ouverte prématurément.</w:t>
      </w:r>
    </w:p>
    <w:p>
      <w:pPr>
        <w:pStyle w:val="3"/>
        <w:widowControl w:val="0"/>
        <w:spacing w:after="60" w:line="360" w:lineRule="auto"/>
        <w:ind w:right="-15"/>
        <w:jc w:val="both"/>
        <w:rPr>
          <w:b/>
          <w:i/>
          <w:smallCaps/>
        </w:rPr>
      </w:pPr>
      <w:r>
        <w:t>21.5 Dans le cadre de la soumission en ligne, l’offre à fournir par le soumissionnaire comprend trois fichiers électroniques correspondant aux trois volumes administratifs, technique et financier.</w:t>
      </w:r>
    </w:p>
    <w:p>
      <w:pPr>
        <w:pStyle w:val="3"/>
        <w:widowControl w:val="0"/>
        <w:spacing w:after="60" w:line="360" w:lineRule="auto"/>
        <w:ind w:right="-15"/>
        <w:jc w:val="both"/>
        <w:rPr>
          <w:b/>
          <w:i/>
          <w:smallCaps/>
        </w:rPr>
      </w:pPr>
      <w:r>
        <w:t>Chaque fichier doit explicitement porter un nom qui renvoie à la nature de son contenu (Offre Administrative, Offre Technique, Offre Financière).</w:t>
      </w:r>
    </w:p>
    <w:p>
      <w:pPr>
        <w:pStyle w:val="3"/>
        <w:widowControl w:val="0"/>
        <w:spacing w:after="60" w:line="360" w:lineRule="auto"/>
        <w:ind w:right="-15"/>
        <w:jc w:val="both"/>
        <w:rPr>
          <w:b/>
          <w:i/>
          <w:smallCaps/>
        </w:rPr>
      </w:pPr>
      <w: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pPr>
        <w:pStyle w:val="3"/>
        <w:widowControl w:val="0"/>
        <w:spacing w:after="60" w:line="360" w:lineRule="auto"/>
        <w:ind w:right="-15"/>
        <w:jc w:val="both"/>
        <w:rPr>
          <w:b/>
          <w:i/>
          <w:smallCaps/>
        </w:rPr>
      </w:pPr>
      <w:r>
        <w:t>21.6 Les éléments constitutifs de l’Offre en ligne ou hors ligne du soumissionnaire doivent être les mêmes pour une consultation donnée.</w:t>
      </w:r>
    </w:p>
    <w:p>
      <w:pPr>
        <w:pStyle w:val="3"/>
        <w:keepNext/>
        <w:numPr>
          <w:ilvl w:val="0"/>
          <w:numId w:val="13"/>
        </w:numPr>
        <w:spacing w:before="120" w:after="120"/>
        <w:ind w:left="1418" w:hanging="1418"/>
        <w:jc w:val="both"/>
        <w:rPr>
          <w:color w:val="000000"/>
        </w:rPr>
      </w:pPr>
      <w:bookmarkStart w:id="52" w:name="_3x8tuzt" w:colFirst="0" w:colLast="0"/>
      <w:bookmarkEnd w:id="52"/>
      <w:r>
        <w:rPr>
          <w:color w:val="000000"/>
          <w:sz w:val="28"/>
          <w:szCs w:val="28"/>
        </w:rPr>
        <w:t>Date, heure limites de dépôt des offres et Mode de soumission</w:t>
      </w:r>
    </w:p>
    <w:p>
      <w:pPr>
        <w:pStyle w:val="5"/>
        <w:spacing w:before="0" w:line="360" w:lineRule="auto"/>
        <w:rPr>
          <w:rFonts w:ascii="Times New Roman" w:hAnsi="Times New Roman" w:eastAsia="Times New Roman" w:cs="Times New Roman"/>
          <w:sz w:val="24"/>
          <w:szCs w:val="24"/>
        </w:rPr>
      </w:pPr>
      <w:bookmarkStart w:id="53" w:name="_2ce457m" w:colFirst="0" w:colLast="0"/>
      <w:bookmarkEnd w:id="53"/>
      <w:r>
        <w:rPr>
          <w:rFonts w:ascii="Times New Roman" w:hAnsi="Times New Roman" w:eastAsia="Times New Roman" w:cs="Times New Roman"/>
          <w:sz w:val="24"/>
          <w:szCs w:val="24"/>
        </w:rPr>
        <w:t xml:space="preserve">22.1- Date et heure limites de dépôt des offres </w:t>
      </w:r>
    </w:p>
    <w:p>
      <w:pPr>
        <w:pStyle w:val="3"/>
        <w:widowControl w:val="0"/>
        <w:spacing w:after="60" w:line="360" w:lineRule="auto"/>
        <w:ind w:left="567" w:hanging="284"/>
        <w:jc w:val="both"/>
        <w:rPr>
          <w:b/>
          <w:i/>
          <w:smallCaps/>
        </w:rPr>
      </w:pPr>
      <w: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pPr>
        <w:pStyle w:val="3"/>
        <w:widowControl w:val="0"/>
        <w:spacing w:after="60" w:line="360" w:lineRule="auto"/>
        <w:ind w:left="567" w:right="-15" w:hanging="284"/>
        <w:jc w:val="both"/>
        <w:rPr>
          <w:b/>
          <w:i/>
          <w:smallCaps/>
        </w:rPr>
      </w:pPr>
      <w: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pPr>
        <w:pStyle w:val="3"/>
        <w:widowControl w:val="0"/>
        <w:spacing w:after="60" w:line="360" w:lineRule="auto"/>
        <w:ind w:left="567" w:right="-15" w:hanging="284"/>
        <w:jc w:val="both"/>
        <w:rPr>
          <w:b/>
          <w:i/>
          <w:smallCaps/>
        </w:rPr>
      </w:pPr>
      <w:r>
        <w:t>c. Pour l’horodatage, le fuseau horaire de référence est l’heure locale (GMT/UTC + 1). Cette heure est visible sur la page de soumission.</w:t>
      </w:r>
    </w:p>
    <w:p>
      <w:pPr>
        <w:pStyle w:val="3"/>
        <w:widowControl w:val="0"/>
        <w:spacing w:after="60" w:line="360" w:lineRule="auto"/>
        <w:ind w:left="567" w:hanging="284"/>
        <w:jc w:val="both"/>
        <w:rPr>
          <w:b/>
          <w:i/>
          <w:smallCaps/>
        </w:rPr>
      </w:pPr>
      <w:r>
        <w:t>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pPr>
        <w:pStyle w:val="3"/>
        <w:widowControl w:val="0"/>
        <w:spacing w:after="60" w:line="360" w:lineRule="auto"/>
        <w:ind w:left="567" w:right="-20" w:hanging="284"/>
        <w:jc w:val="both"/>
        <w:rPr>
          <w:b/>
          <w:i/>
          <w:smallCaps/>
        </w:rPr>
      </w:pPr>
      <w:bookmarkStart w:id="54" w:name="_rjefff" w:colFirst="0" w:colLast="0"/>
      <w:bookmarkEnd w:id="54"/>
      <w:r>
        <w:t>e Les offres transmises par voie électronique donnent lieu à un accusé de réception mentionnant la date et l’heure de réception ainsi que les références de la consultation.</w:t>
      </w:r>
    </w:p>
    <w:p>
      <w:pPr>
        <w:pStyle w:val="3"/>
        <w:widowControl w:val="0"/>
        <w:spacing w:after="60" w:line="360" w:lineRule="auto"/>
        <w:ind w:left="624" w:right="-39" w:hanging="624"/>
        <w:rPr>
          <w:b/>
          <w:sz w:val="20"/>
          <w:szCs w:val="20"/>
        </w:rPr>
      </w:pPr>
      <w:r>
        <w:rPr>
          <w:b/>
        </w:rPr>
        <w:t>22.2 : Mode de soumission</w:t>
      </w:r>
    </w:p>
    <w:p>
      <w:pPr>
        <w:pStyle w:val="3"/>
        <w:widowControl w:val="0"/>
        <w:spacing w:after="60" w:line="360" w:lineRule="auto"/>
        <w:ind w:left="624" w:right="-39" w:hanging="624"/>
        <w:rPr>
          <w:b/>
          <w:i/>
          <w:smallCaps/>
        </w:rPr>
      </w:pPr>
      <w:r>
        <w:t>Trois modes de soumissions sont possibles :</w:t>
      </w:r>
    </w:p>
    <w:p>
      <w:pPr>
        <w:pStyle w:val="3"/>
        <w:widowControl w:val="0"/>
        <w:numPr>
          <w:ilvl w:val="0"/>
          <w:numId w:val="17"/>
        </w:numPr>
        <w:spacing w:after="60" w:line="360" w:lineRule="auto"/>
        <w:ind w:right="-39"/>
        <w:rPr>
          <w:b/>
          <w:i/>
          <w:smallCaps/>
        </w:rPr>
      </w:pPr>
      <w:r>
        <w:t>En ligne (online) : seules les soumissions en ligne sont acceptées pour cette consultation par l’Autorité Contractante et font foi.</w:t>
      </w:r>
    </w:p>
    <w:p>
      <w:pPr>
        <w:pStyle w:val="3"/>
        <w:widowControl w:val="0"/>
        <w:numPr>
          <w:ilvl w:val="0"/>
          <w:numId w:val="17"/>
        </w:numPr>
        <w:spacing w:after="60" w:line="360" w:lineRule="auto"/>
        <w:ind w:right="-39"/>
        <w:rPr>
          <w:b/>
          <w:i/>
          <w:smallCaps/>
        </w:rPr>
      </w:pPr>
      <w:r>
        <w:t>Hors ligne (offline) : seules les soumissions hors ligne sont acceptées pour cette consultation par l’Autorité Contractante et font foi.</w:t>
      </w:r>
    </w:p>
    <w:p>
      <w:pPr>
        <w:pStyle w:val="3"/>
        <w:widowControl w:val="0"/>
        <w:numPr>
          <w:ilvl w:val="0"/>
          <w:numId w:val="17"/>
        </w:numPr>
        <w:spacing w:after="60" w:line="360" w:lineRule="auto"/>
        <w:ind w:right="-39"/>
        <w:rPr>
          <w:b/>
          <w:i/>
          <w:smallCaps/>
        </w:rPr>
      </w:pPr>
      <w:r>
        <w:t>En ligne ou hors ligne (on/offline). Les deux modes de soumission sont possibles. Toutefois, il n’est pas possible de soumissionner en ligne et hors ligne pour une même consultation.</w:t>
      </w:r>
    </w:p>
    <w:p>
      <w:pPr>
        <w:pStyle w:val="3"/>
        <w:widowControl w:val="0"/>
        <w:spacing w:after="60" w:line="360" w:lineRule="auto"/>
        <w:ind w:right="-39"/>
        <w:rPr>
          <w:b/>
          <w:i/>
          <w:smallCaps/>
        </w:rPr>
      </w:pPr>
      <w:r>
        <w:t>Le mode de soumission retenu est précisé dans le RPAO.</w:t>
      </w:r>
    </w:p>
    <w:p>
      <w:pPr>
        <w:pStyle w:val="3"/>
        <w:widowControl w:val="0"/>
        <w:spacing w:after="60" w:line="360" w:lineRule="auto"/>
        <w:ind w:right="-39"/>
        <w:jc w:val="both"/>
        <w:rPr>
          <w:b/>
          <w:i/>
          <w:smallCaps/>
        </w:rPr>
      </w:pPr>
      <w:r>
        <w:rPr>
          <w:b/>
          <w:u w:val="single"/>
        </w:rPr>
        <w:t>NB</w:t>
      </w:r>
      <w:r>
        <w:t> : Au moment de la soumission en ligne, les plis des soumissionnaires sont automatiquement chiffrés ou cryptés c'est-à-dire que, leur contenu est rendu illisible.</w:t>
      </w:r>
    </w:p>
    <w:p>
      <w:pPr>
        <w:pStyle w:val="3"/>
        <w:keepNext/>
        <w:numPr>
          <w:ilvl w:val="0"/>
          <w:numId w:val="13"/>
        </w:numPr>
        <w:spacing w:before="120" w:after="120"/>
        <w:ind w:left="1418" w:hanging="1418"/>
        <w:jc w:val="both"/>
        <w:rPr>
          <w:color w:val="000000"/>
        </w:rPr>
      </w:pPr>
      <w:bookmarkStart w:id="55" w:name="_3bj1y38" w:colFirst="0" w:colLast="0"/>
      <w:bookmarkEnd w:id="55"/>
      <w:r>
        <w:rPr>
          <w:color w:val="000000"/>
          <w:sz w:val="28"/>
          <w:szCs w:val="28"/>
        </w:rPr>
        <w:t>Offres hors délai</w:t>
      </w:r>
    </w:p>
    <w:p>
      <w:pPr>
        <w:pStyle w:val="3"/>
        <w:widowControl w:val="0"/>
        <w:spacing w:after="60" w:line="360" w:lineRule="auto"/>
        <w:jc w:val="both"/>
        <w:rPr>
          <w:b/>
          <w:i/>
          <w:smallCaps/>
        </w:rPr>
      </w:pPr>
      <w:r>
        <w:t>Quel que soit le mode de soumission, toute offre parvenue dans les services du Maître d’Ouvrage ou du Maître d’Ouvrage Délégué est irrecevable après les date et heure limites fixées pour le dépôt des offres.</w:t>
      </w:r>
    </w:p>
    <w:p>
      <w:pPr>
        <w:pStyle w:val="3"/>
        <w:keepNext/>
        <w:numPr>
          <w:ilvl w:val="0"/>
          <w:numId w:val="13"/>
        </w:numPr>
        <w:spacing w:before="120" w:after="120"/>
        <w:ind w:left="1418" w:hanging="1418"/>
        <w:jc w:val="both"/>
        <w:rPr>
          <w:color w:val="000000"/>
        </w:rPr>
      </w:pPr>
      <w:bookmarkStart w:id="56" w:name="_1qoc8b1" w:colFirst="0" w:colLast="0"/>
      <w:bookmarkEnd w:id="56"/>
      <w:r>
        <w:rPr>
          <w:color w:val="000000"/>
          <w:sz w:val="28"/>
          <w:szCs w:val="28"/>
        </w:rPr>
        <w:t>Modification, substitution et retrait des offres</w:t>
      </w:r>
    </w:p>
    <w:p>
      <w:pPr>
        <w:pStyle w:val="3"/>
        <w:widowControl w:val="0"/>
        <w:spacing w:after="60" w:line="360" w:lineRule="auto"/>
        <w:jc w:val="both"/>
        <w:rPr>
          <w:b/>
          <w:sz w:val="20"/>
          <w:szCs w:val="20"/>
        </w:rPr>
      </w:pPr>
      <w:r>
        <w:rPr>
          <w:b/>
        </w:rPr>
        <w:t>Pour les soumissions hors ligne,</w:t>
      </w:r>
    </w:p>
    <w:p>
      <w:pPr>
        <w:pStyle w:val="3"/>
        <w:widowControl w:val="0"/>
        <w:spacing w:after="60" w:line="360" w:lineRule="auto"/>
        <w:jc w:val="both"/>
        <w:rPr>
          <w:b/>
          <w:i/>
          <w:smallCaps/>
        </w:rPr>
      </w:pPr>
      <w:r>
        <w:rPr>
          <w:b/>
        </w:rPr>
        <w:t>24.1</w:t>
      </w:r>
      <w:r>
        <w:t>.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pPr>
        <w:pStyle w:val="3"/>
        <w:widowControl w:val="0"/>
        <w:spacing w:after="60" w:line="360" w:lineRule="auto"/>
        <w:jc w:val="both"/>
        <w:rPr>
          <w:b/>
          <w:i/>
          <w:smallCaps/>
        </w:rPr>
      </w:pPr>
      <w:r>
        <w:rPr>
          <w:b/>
        </w:rPr>
        <w:t>24.2</w:t>
      </w:r>
      <w:r>
        <w:t>.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pPr>
        <w:pStyle w:val="3"/>
        <w:widowControl w:val="0"/>
        <w:tabs>
          <w:tab w:val="left" w:pos="1240"/>
          <w:tab w:val="left" w:pos="2060"/>
          <w:tab w:val="left" w:pos="2760"/>
          <w:tab w:val="left" w:pos="3300"/>
        </w:tabs>
        <w:spacing w:after="60" w:line="360" w:lineRule="auto"/>
        <w:jc w:val="both"/>
        <w:rPr>
          <w:b/>
          <w:i/>
          <w:smallCaps/>
        </w:rPr>
      </w:pPr>
      <w:r>
        <w:rPr>
          <w:b/>
        </w:rPr>
        <w:t>24.3</w:t>
      </w:r>
      <w:r>
        <w:t>. Les offres dont les Soumissionnaires demandent le retrait en application de l’article 24.1 leur seront retournées sans avoir été ouvertes.</w:t>
      </w:r>
    </w:p>
    <w:p>
      <w:pPr>
        <w:pStyle w:val="3"/>
        <w:widowControl w:val="0"/>
        <w:spacing w:after="60" w:line="360" w:lineRule="auto"/>
        <w:jc w:val="both"/>
        <w:rPr>
          <w:b/>
          <w:i/>
          <w:smallCaps/>
        </w:rPr>
      </w:pPr>
      <w:r>
        <w:rPr>
          <w:b/>
        </w:rPr>
        <w:t>24.4</w:t>
      </w:r>
      <w: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pPr>
        <w:pStyle w:val="3"/>
        <w:widowControl w:val="0"/>
        <w:spacing w:after="60" w:line="360" w:lineRule="auto"/>
        <w:ind w:left="624" w:right="90" w:hanging="624"/>
        <w:jc w:val="both"/>
        <w:rPr>
          <w:b/>
          <w:sz w:val="20"/>
          <w:szCs w:val="20"/>
        </w:rPr>
      </w:pPr>
      <w:r>
        <w:rPr>
          <w:b/>
        </w:rPr>
        <w:t>Pour les soumissions en ligne,</w:t>
      </w:r>
    </w:p>
    <w:p>
      <w:pPr>
        <w:pStyle w:val="3"/>
        <w:widowControl w:val="0"/>
        <w:spacing w:after="60" w:line="360" w:lineRule="auto"/>
        <w:ind w:right="90"/>
        <w:jc w:val="both"/>
        <w:rPr>
          <w:b/>
          <w:i/>
          <w:smallCaps/>
        </w:rPr>
      </w:pPr>
      <w:bookmarkStart w:id="57" w:name="_4anzqyu" w:colFirst="0" w:colLast="0"/>
      <w:bookmarkEnd w:id="57"/>
      <w: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pPr>
        <w:pStyle w:val="3"/>
        <w:widowControl w:val="0"/>
        <w:spacing w:after="60" w:line="360" w:lineRule="auto"/>
        <w:ind w:right="90"/>
        <w:jc w:val="both"/>
        <w:rPr>
          <w:b/>
          <w:i/>
          <w:smallCaps/>
        </w:rPr>
      </w:pPr>
      <w:r>
        <w:t>24.6 La modification, le remplacement ou le retrait de la copie de sauvegarde se fait conformément aux dispositions de l’article 24 alinéas 1 à 4.</w:t>
      </w:r>
    </w:p>
    <w:p>
      <w:pPr>
        <w:pStyle w:val="3"/>
        <w:keepNext/>
        <w:numPr>
          <w:ilvl w:val="0"/>
          <w:numId w:val="12"/>
        </w:numPr>
        <w:ind w:left="714" w:hanging="357"/>
        <w:jc w:val="center"/>
        <w:rPr>
          <w:smallCaps/>
          <w:color w:val="000000"/>
          <w:sz w:val="32"/>
          <w:szCs w:val="32"/>
        </w:rPr>
      </w:pPr>
      <w:bookmarkStart w:id="58" w:name="_2pta16n" w:colFirst="0" w:colLast="0"/>
      <w:bookmarkEnd w:id="58"/>
      <w:r>
        <w:rPr>
          <w:smallCaps/>
          <w:color w:val="000000"/>
          <w:sz w:val="32"/>
          <w:szCs w:val="32"/>
        </w:rPr>
        <w:t>OUVERTURE DES PLIS ET ÉVALUATION DES OFFRES</w:t>
      </w:r>
    </w:p>
    <w:p>
      <w:pPr>
        <w:pStyle w:val="3"/>
        <w:keepNext/>
        <w:numPr>
          <w:ilvl w:val="0"/>
          <w:numId w:val="13"/>
        </w:numPr>
        <w:spacing w:before="120" w:after="120"/>
        <w:ind w:left="1418" w:hanging="1418"/>
        <w:jc w:val="both"/>
        <w:rPr>
          <w:color w:val="000000"/>
        </w:rPr>
      </w:pPr>
      <w:bookmarkStart w:id="59" w:name="_14ykbeg" w:colFirst="0" w:colLast="0"/>
      <w:bookmarkEnd w:id="59"/>
      <w:r>
        <w:rPr>
          <w:color w:val="000000"/>
          <w:sz w:val="28"/>
          <w:szCs w:val="28"/>
        </w:rPr>
        <w:t>Ouverture des plis et recours</w:t>
      </w:r>
    </w:p>
    <w:p>
      <w:pPr>
        <w:pStyle w:val="3"/>
        <w:widowControl w:val="0"/>
        <w:spacing w:after="60" w:line="360" w:lineRule="auto"/>
        <w:ind w:right="-20"/>
        <w:rPr>
          <w:b/>
          <w:i/>
          <w:smallCaps/>
        </w:rPr>
      </w:pPr>
      <w:r>
        <w:t>25.1 Préalablement à l’ouverture des plis, les offres déposées par voie électronique sont déchiffrées par l’autorité contractante. Le déchiffrement consiste à rendre les offres lisibles et accessibles uniquement pour la Commission de passation des Marchés.</w:t>
      </w:r>
    </w:p>
    <w:p>
      <w:pPr>
        <w:pStyle w:val="3"/>
        <w:widowControl w:val="0"/>
        <w:tabs>
          <w:tab w:val="left" w:pos="2340"/>
          <w:tab w:val="left" w:pos="2920"/>
          <w:tab w:val="left" w:pos="4900"/>
        </w:tabs>
        <w:spacing w:after="60" w:line="360" w:lineRule="auto"/>
        <w:jc w:val="both"/>
        <w:rPr>
          <w:b/>
          <w:i/>
          <w:smallCaps/>
        </w:rPr>
      </w:pPr>
      <w:r>
        <w:t>25.2. L’ouverture de tous les plis se fait en un temps, y compris pour les travaux de grande importance ou complexes ayant fait l’objet d’une procédure de préqualification.</w:t>
      </w:r>
    </w:p>
    <w:p>
      <w:pPr>
        <w:pStyle w:val="3"/>
        <w:widowControl w:val="0"/>
        <w:tabs>
          <w:tab w:val="left" w:pos="2340"/>
          <w:tab w:val="left" w:pos="2920"/>
          <w:tab w:val="left" w:pos="4900"/>
        </w:tabs>
        <w:spacing w:after="60" w:line="360" w:lineRule="auto"/>
        <w:jc w:val="both"/>
        <w:rPr>
          <w:b/>
          <w:i/>
          <w:smallCaps/>
        </w:rPr>
      </w:pPr>
      <w: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pPr>
        <w:pStyle w:val="3"/>
        <w:widowControl w:val="0"/>
        <w:tabs>
          <w:tab w:val="left" w:pos="2220"/>
          <w:tab w:val="left" w:pos="2860"/>
          <w:tab w:val="left" w:pos="3660"/>
          <w:tab w:val="left" w:pos="4940"/>
        </w:tabs>
        <w:spacing w:after="60" w:line="360" w:lineRule="auto"/>
        <w:ind w:right="-20"/>
        <w:jc w:val="both"/>
        <w:rPr>
          <w:b/>
          <w:i/>
          <w:smallCaps/>
        </w:rPr>
      </w:pPr>
      <w: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pPr>
        <w:pStyle w:val="3"/>
        <w:widowControl w:val="0"/>
        <w:spacing w:after="60" w:line="360" w:lineRule="auto"/>
        <w:ind w:right="-15"/>
        <w:jc w:val="both"/>
        <w:rPr>
          <w:b/>
          <w:i/>
          <w:smallCaps/>
        </w:rPr>
      </w:pPr>
      <w:r>
        <w:t>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pPr>
        <w:pStyle w:val="3"/>
        <w:widowControl w:val="0"/>
        <w:tabs>
          <w:tab w:val="left" w:pos="2300"/>
          <w:tab w:val="left" w:pos="2880"/>
          <w:tab w:val="left" w:pos="4880"/>
        </w:tabs>
        <w:spacing w:after="60" w:line="360" w:lineRule="auto"/>
        <w:ind w:right="-20"/>
        <w:jc w:val="both"/>
        <w:rPr>
          <w:b/>
          <w:i/>
          <w:smallCaps/>
        </w:rPr>
      </w:pPr>
      <w: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pPr>
        <w:pStyle w:val="3"/>
        <w:widowControl w:val="0"/>
        <w:spacing w:after="60" w:line="360" w:lineRule="auto"/>
        <w:jc w:val="both"/>
        <w:rPr>
          <w:b/>
          <w:i/>
          <w:smallCaps/>
        </w:rPr>
      </w:pPr>
      <w: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pPr>
        <w:pStyle w:val="3"/>
        <w:widowControl w:val="0"/>
        <w:spacing w:after="60" w:line="360" w:lineRule="auto"/>
        <w:jc w:val="both"/>
        <w:rPr>
          <w:strike/>
          <w:sz w:val="20"/>
          <w:szCs w:val="20"/>
        </w:rPr>
      </w:pPr>
      <w: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pPr>
        <w:pStyle w:val="3"/>
        <w:widowControl w:val="0"/>
        <w:spacing w:after="60" w:line="360" w:lineRule="auto"/>
        <w:jc w:val="both"/>
        <w:rPr>
          <w:b/>
          <w:i/>
          <w:smallCaps/>
        </w:rPr>
      </w:pPr>
      <w: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pPr>
        <w:pStyle w:val="3"/>
        <w:widowControl w:val="0"/>
        <w:spacing w:after="60" w:line="360" w:lineRule="auto"/>
        <w:jc w:val="both"/>
        <w:rPr>
          <w:b/>
          <w:i/>
          <w:smallCaps/>
        </w:rPr>
      </w:pPr>
      <w:r>
        <w:t>Il doit parvenir dans un délai maximum de trois (03) jours ouvrables après l’ouverture des plis, sous la forme d’une lettre dûment signée par le requérant.</w:t>
      </w:r>
    </w:p>
    <w:p>
      <w:pPr>
        <w:pStyle w:val="3"/>
        <w:widowControl w:val="0"/>
        <w:spacing w:after="60" w:line="360" w:lineRule="auto"/>
        <w:jc w:val="both"/>
        <w:rPr>
          <w:b/>
          <w:i/>
          <w:smallCaps/>
        </w:rPr>
      </w:pPr>
      <w:r>
        <w:t>Ce recours qui ne peut porter que sur le déroulement de cette étape, notamment le respect des procédures et la régularité des pièces vérifiées, n’est pas suspensif.</w:t>
      </w:r>
    </w:p>
    <w:p>
      <w:pPr>
        <w:pStyle w:val="3"/>
        <w:widowControl w:val="0"/>
        <w:spacing w:after="60" w:line="360" w:lineRule="auto"/>
        <w:jc w:val="both"/>
        <w:rPr>
          <w:b/>
          <w:i/>
          <w:smallCaps/>
        </w:rPr>
      </w:pPr>
      <w:r>
        <w:t xml:space="preserve"> Le cas échéant, l’Observateur Indépendant annexe à son rapport, le feuillet du registre de recours qui lui a été remis, assorti des commentaires ou des observations y afférents.</w:t>
      </w:r>
    </w:p>
    <w:p>
      <w:pPr>
        <w:pStyle w:val="3"/>
        <w:widowControl w:val="0"/>
        <w:spacing w:after="60" w:line="360" w:lineRule="auto"/>
        <w:ind w:right="102"/>
        <w:jc w:val="both"/>
        <w:rPr>
          <w:b/>
          <w:i/>
          <w:smallCaps/>
        </w:rPr>
      </w:pPr>
      <w: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pPr>
        <w:pStyle w:val="3"/>
        <w:keepNext/>
        <w:numPr>
          <w:ilvl w:val="0"/>
          <w:numId w:val="13"/>
        </w:numPr>
        <w:spacing w:before="120" w:after="120"/>
        <w:ind w:left="1418" w:hanging="1418"/>
        <w:jc w:val="both"/>
        <w:rPr>
          <w:color w:val="000000"/>
        </w:rPr>
      </w:pPr>
      <w:bookmarkStart w:id="60" w:name="_3oy7u29" w:colFirst="0" w:colLast="0"/>
      <w:bookmarkEnd w:id="60"/>
      <w:r>
        <w:rPr>
          <w:color w:val="000000"/>
          <w:sz w:val="28"/>
          <w:szCs w:val="28"/>
        </w:rPr>
        <w:t>Caractère confidentiel de la procédure</w:t>
      </w:r>
    </w:p>
    <w:p>
      <w:pPr>
        <w:pStyle w:val="3"/>
        <w:widowControl w:val="0"/>
        <w:spacing w:after="60" w:line="360" w:lineRule="auto"/>
        <w:jc w:val="both"/>
        <w:rPr>
          <w:b/>
          <w:i/>
          <w:smallCaps/>
        </w:rPr>
      </w:pPr>
      <w: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pPr>
        <w:pStyle w:val="3"/>
        <w:widowControl w:val="0"/>
        <w:spacing w:after="60" w:line="360" w:lineRule="auto"/>
        <w:jc w:val="both"/>
        <w:rPr>
          <w:b/>
          <w:i/>
          <w:smallCaps/>
        </w:rPr>
      </w:pPr>
      <w:r>
        <w:t xml:space="preserve">26.2. Toute tentative faite par un soumissionnaire pour influencer la Sous-commission d’analyse dans l’évaluation des offres, la Commission de Passation des Marchés dans la proposition d’attribution, </w:t>
      </w:r>
      <w:r>
        <w:rPr>
          <w:strike/>
        </w:rPr>
        <w:t>ou</w:t>
      </w:r>
      <w:r>
        <w:t xml:space="preserve"> le Maître d’Ouvrage ou le Maître d’Ouvrage Délégué dans la décision d’attribution, peut entraîner le rejet de son offre.</w:t>
      </w:r>
    </w:p>
    <w:p>
      <w:pPr>
        <w:pStyle w:val="3"/>
        <w:widowControl w:val="0"/>
        <w:spacing w:after="60" w:line="360" w:lineRule="auto"/>
        <w:jc w:val="both"/>
        <w:rPr>
          <w:b/>
          <w:i/>
          <w:smallCaps/>
        </w:rPr>
      </w:pPr>
      <w:r>
        <w:t>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pPr>
        <w:pStyle w:val="3"/>
        <w:keepNext/>
        <w:numPr>
          <w:ilvl w:val="0"/>
          <w:numId w:val="13"/>
        </w:numPr>
        <w:spacing w:before="120" w:after="120"/>
        <w:ind w:left="1418" w:hanging="1418"/>
        <w:jc w:val="both"/>
        <w:rPr>
          <w:color w:val="000000"/>
        </w:rPr>
      </w:pPr>
      <w:bookmarkStart w:id="61" w:name="_243i4a2" w:colFirst="0" w:colLast="0"/>
      <w:bookmarkEnd w:id="61"/>
      <w:r>
        <w:rPr>
          <w:color w:val="000000"/>
          <w:sz w:val="28"/>
          <w:szCs w:val="28"/>
        </w:rPr>
        <w:t>Eclaircissements sur les offres et contacts avec le Maître d’Ouvrage ou le Maître d’Ouvrage Délégué</w:t>
      </w:r>
    </w:p>
    <w:p>
      <w:pPr>
        <w:pStyle w:val="3"/>
        <w:widowControl w:val="0"/>
        <w:spacing w:after="60" w:line="360" w:lineRule="auto"/>
        <w:jc w:val="both"/>
        <w:rPr>
          <w:b/>
          <w:i/>
          <w:smallCaps/>
        </w:rPr>
      </w:pPr>
      <w: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pPr>
        <w:pStyle w:val="3"/>
        <w:widowControl w:val="0"/>
        <w:spacing w:after="60" w:line="360" w:lineRule="auto"/>
        <w:jc w:val="both"/>
        <w:rPr>
          <w:b/>
          <w:i/>
          <w:smallCaps/>
        </w:rPr>
      </w:pPr>
      <w: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pPr>
        <w:pStyle w:val="3"/>
        <w:widowControl w:val="0"/>
        <w:spacing w:after="60" w:line="360" w:lineRule="auto"/>
        <w:jc w:val="both"/>
        <w:rPr>
          <w:b/>
          <w:i/>
          <w:smallCaps/>
        </w:rPr>
      </w:pPr>
      <w:r>
        <w:t>27.3. Le délai de réponse accordé aux demandes d’éclaircissement ne saurait excéder sept (07) jours ouvrables.</w:t>
      </w:r>
    </w:p>
    <w:p>
      <w:pPr>
        <w:pStyle w:val="3"/>
        <w:widowControl w:val="0"/>
        <w:spacing w:after="60" w:line="360" w:lineRule="auto"/>
        <w:jc w:val="both"/>
        <w:rPr>
          <w:b/>
          <w:i/>
          <w:smallCaps/>
        </w:rPr>
      </w:pPr>
      <w: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pPr>
        <w:pStyle w:val="3"/>
        <w:keepNext/>
        <w:numPr>
          <w:ilvl w:val="0"/>
          <w:numId w:val="13"/>
        </w:numPr>
        <w:spacing w:before="120" w:after="120"/>
        <w:ind w:left="1418" w:hanging="1418"/>
        <w:jc w:val="both"/>
        <w:rPr>
          <w:color w:val="000000"/>
        </w:rPr>
      </w:pPr>
      <w:bookmarkStart w:id="62" w:name="_j8sehv" w:colFirst="0" w:colLast="0"/>
      <w:bookmarkEnd w:id="62"/>
      <w:r>
        <w:rPr>
          <w:color w:val="000000"/>
          <w:sz w:val="28"/>
          <w:szCs w:val="28"/>
        </w:rPr>
        <w:t>Détermination de la conformité des offres et évaluation au plan technique</w:t>
      </w:r>
    </w:p>
    <w:p>
      <w:pPr>
        <w:pStyle w:val="3"/>
        <w:widowControl w:val="0"/>
        <w:spacing w:after="60" w:line="360" w:lineRule="auto"/>
        <w:jc w:val="both"/>
        <w:rPr>
          <w:b/>
          <w:i/>
          <w:smallCaps/>
        </w:rPr>
      </w:pPr>
      <w: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pPr>
        <w:pStyle w:val="3"/>
        <w:widowControl w:val="0"/>
        <w:spacing w:after="60" w:line="360" w:lineRule="auto"/>
        <w:jc w:val="both"/>
        <w:rPr>
          <w:b/>
          <w:i/>
          <w:smallCaps/>
        </w:rPr>
      </w:pPr>
      <w:r>
        <w:t>28.2. La Sous-commission d’analyse déterminera ensuite si l’offre est conforme pour l’essentiel aux dispositions du Dossier d’Appel d’Offres en se basant sur son contenu sans avoir recours à des éléments de preuve extrinsèques. A ce titre, la Sous-commission d’Analyse :</w:t>
      </w:r>
    </w:p>
    <w:p>
      <w:pPr>
        <w:pStyle w:val="3"/>
        <w:widowControl w:val="0"/>
        <w:numPr>
          <w:ilvl w:val="0"/>
          <w:numId w:val="18"/>
        </w:numPr>
        <w:spacing w:after="60" w:line="360" w:lineRule="auto"/>
        <w:jc w:val="both"/>
      </w:pPr>
      <w:r>
        <w:rPr>
          <w:color w:val="000000"/>
        </w:rPr>
        <w:t>examinera l’offre pour confirmer que toutes les conditions spécifiées dans le RPAO et le CCAP ont été acceptées par le Soumissionnaire sans divergence ou réserve substantielle ;</w:t>
      </w:r>
    </w:p>
    <w:p>
      <w:pPr>
        <w:pStyle w:val="3"/>
        <w:widowControl w:val="0"/>
        <w:numPr>
          <w:ilvl w:val="0"/>
          <w:numId w:val="18"/>
        </w:numPr>
        <w:spacing w:after="60" w:line="360" w:lineRule="auto"/>
        <w:jc w:val="both"/>
      </w:pPr>
      <w:r>
        <w:rPr>
          <w:color w:val="000000"/>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pPr>
        <w:pStyle w:val="3"/>
        <w:widowControl w:val="0"/>
        <w:spacing w:after="60" w:line="360" w:lineRule="auto"/>
        <w:jc w:val="both"/>
        <w:rPr>
          <w:b/>
          <w:i/>
          <w:smallCaps/>
        </w:rPr>
      </w:pPr>
      <w:r>
        <w:t>28.3. Une offre conforme pour l’essentiel au Dossier d’Appel d’Offres est une offre qui respecte tous les termes, conditions, et spécifications du Dossier d’Appel d’Offres, sans divergence ni réserve importante. Une divergence ou réserve importante est celle qui :</w:t>
      </w:r>
    </w:p>
    <w:p>
      <w:pPr>
        <w:pStyle w:val="3"/>
        <w:widowControl w:val="0"/>
        <w:spacing w:after="60" w:line="360" w:lineRule="auto"/>
        <w:ind w:left="993" w:hanging="142"/>
        <w:jc w:val="both"/>
        <w:rPr>
          <w:b/>
          <w:i/>
          <w:smallCaps/>
        </w:rPr>
      </w:pPr>
      <w:r>
        <w:t>i. Affecte sensiblement l’étendue, la qualité ou la réalisation des Travaux ;</w:t>
      </w:r>
    </w:p>
    <w:p>
      <w:pPr>
        <w:pStyle w:val="3"/>
        <w:widowControl w:val="0"/>
        <w:spacing w:after="60" w:line="360" w:lineRule="auto"/>
        <w:ind w:left="993" w:hanging="142"/>
        <w:jc w:val="both"/>
        <w:rPr>
          <w:b/>
          <w:i/>
          <w:smallCaps/>
        </w:rPr>
      </w:pPr>
      <w:bookmarkStart w:id="63" w:name="_338fx5o" w:colFirst="0" w:colLast="0"/>
      <w:bookmarkEnd w:id="63"/>
      <w:r>
        <w:t>ii. Limite sensiblement, en contradiction avec le Dossier d’Appel d’Offres, les droits du Maître d’Ouvrage ou du Maître d’Ouvrage Délégué ou ses obligations au titre du Marché;</w:t>
      </w:r>
    </w:p>
    <w:p>
      <w:pPr>
        <w:pStyle w:val="3"/>
        <w:widowControl w:val="0"/>
        <w:spacing w:after="60" w:line="360" w:lineRule="auto"/>
        <w:ind w:left="993" w:hanging="142"/>
        <w:jc w:val="both"/>
        <w:rPr>
          <w:b/>
          <w:i/>
          <w:smallCaps/>
        </w:rPr>
      </w:pPr>
      <w:r>
        <w:t>iii. Est telle que son acceptation ou sa correction affecterait injustement la compétitivité des autres soumissionnaires qui ont présenté des offres conformes pour l’essentiel au Dossier d’Appel d’Offres.</w:t>
      </w:r>
    </w:p>
    <w:p>
      <w:pPr>
        <w:pStyle w:val="3"/>
        <w:widowControl w:val="0"/>
        <w:spacing w:after="60" w:line="360" w:lineRule="auto"/>
        <w:jc w:val="both"/>
        <w:rPr>
          <w:b/>
          <w:i/>
          <w:smallCaps/>
        </w:rPr>
      </w:pPr>
      <w:r>
        <w:t>28.4. Si une offre n’est pas conforme pour l’essentiel au Dossier d’Appel d’Offres, elle sera écartée par la Commission des Marchés Compétente et ne pourra être par la suite rendue conforme.</w:t>
      </w:r>
    </w:p>
    <w:p>
      <w:pPr>
        <w:pStyle w:val="3"/>
        <w:widowControl w:val="0"/>
        <w:spacing w:after="60" w:line="360" w:lineRule="auto"/>
        <w:jc w:val="both"/>
        <w:rPr>
          <w:b/>
          <w:i/>
          <w:smallCaps/>
        </w:rPr>
      </w:pPr>
      <w: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pPr>
        <w:pStyle w:val="3"/>
        <w:keepNext/>
        <w:numPr>
          <w:ilvl w:val="0"/>
          <w:numId w:val="13"/>
        </w:numPr>
        <w:spacing w:before="120" w:after="120"/>
        <w:ind w:left="1418" w:hanging="1418"/>
        <w:jc w:val="both"/>
        <w:rPr>
          <w:color w:val="000000"/>
        </w:rPr>
      </w:pPr>
      <w:bookmarkStart w:id="64" w:name="_1idq7dh" w:colFirst="0" w:colLast="0"/>
      <w:bookmarkEnd w:id="64"/>
      <w:r>
        <w:rPr>
          <w:color w:val="000000"/>
          <w:sz w:val="28"/>
          <w:szCs w:val="28"/>
        </w:rPr>
        <w:t xml:space="preserve">Critères d’évaluation et de qualification du soumissionnaire </w:t>
      </w:r>
    </w:p>
    <w:p>
      <w:pPr>
        <w:pStyle w:val="3"/>
        <w:widowControl w:val="0"/>
        <w:tabs>
          <w:tab w:val="left" w:pos="600"/>
          <w:tab w:val="left" w:pos="2760"/>
          <w:tab w:val="left" w:pos="4160"/>
          <w:tab w:val="left" w:pos="4900"/>
        </w:tabs>
        <w:spacing w:after="60" w:line="360" w:lineRule="auto"/>
        <w:jc w:val="both"/>
        <w:rPr>
          <w:b/>
          <w:i/>
          <w:smallCaps/>
        </w:rPr>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pPr>
        <w:pStyle w:val="3"/>
        <w:keepNext/>
        <w:numPr>
          <w:ilvl w:val="0"/>
          <w:numId w:val="13"/>
        </w:numPr>
        <w:spacing w:before="120" w:after="120"/>
        <w:ind w:left="1418" w:hanging="1418"/>
        <w:jc w:val="both"/>
        <w:rPr>
          <w:color w:val="000000"/>
        </w:rPr>
      </w:pPr>
      <w:bookmarkStart w:id="65" w:name="_42ddq1a" w:colFirst="0" w:colLast="0"/>
      <w:bookmarkEnd w:id="65"/>
      <w:r>
        <w:rPr>
          <w:color w:val="000000"/>
          <w:sz w:val="28"/>
          <w:szCs w:val="28"/>
        </w:rPr>
        <w:t>Correction des erreurs</w:t>
      </w:r>
    </w:p>
    <w:p>
      <w:pPr>
        <w:pStyle w:val="3"/>
        <w:widowControl w:val="0"/>
        <w:spacing w:after="60" w:line="360" w:lineRule="auto"/>
        <w:jc w:val="both"/>
        <w:rPr>
          <w:b/>
          <w:i/>
          <w:smallCaps/>
        </w:rPr>
      </w:pPr>
      <w:r>
        <w:t>30.1. La Sous-commission d’analyse vérifiera les offres reconnues conformes pour l’essentiel au Dossier d’Appel d’Offres pour en rectifier les erreurs de calcul éventuelles. La sous- commission d’analyse corrigera les erreurs de la façon suivante :</w:t>
      </w:r>
    </w:p>
    <w:p>
      <w:pPr>
        <w:pStyle w:val="3"/>
        <w:widowControl w:val="0"/>
        <w:spacing w:after="60" w:line="360" w:lineRule="auto"/>
        <w:jc w:val="both"/>
        <w:rPr>
          <w:b/>
          <w:i/>
          <w:smallCaps/>
        </w:rPr>
      </w:pPr>
      <w: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pPr>
        <w:pStyle w:val="3"/>
        <w:widowControl w:val="0"/>
        <w:spacing w:after="60" w:line="360" w:lineRule="auto"/>
        <w:jc w:val="both"/>
        <w:rPr>
          <w:b/>
          <w:i/>
          <w:smallCaps/>
        </w:rPr>
      </w:pPr>
      <w:r>
        <w:t>b. Si le total obtenu par addition ou soustraction des sous totaux n’est pas exact, les sous totaux feront foi et le total sera corrigé ;</w:t>
      </w:r>
    </w:p>
    <w:p>
      <w:pPr>
        <w:pStyle w:val="3"/>
        <w:widowControl w:val="0"/>
        <w:spacing w:after="60" w:line="360" w:lineRule="auto"/>
        <w:jc w:val="both"/>
        <w:rPr>
          <w:b/>
          <w:i/>
          <w:smallCaps/>
        </w:rPr>
      </w:pPr>
      <w:r>
        <w:t>c. En cas de divergence entre les prix en chiffres et  ceux en lettres,  le prix en lettres fait foi.</w:t>
      </w:r>
    </w:p>
    <w:p>
      <w:pPr>
        <w:pStyle w:val="3"/>
        <w:widowControl w:val="0"/>
        <w:spacing w:after="60" w:line="360" w:lineRule="auto"/>
        <w:jc w:val="both"/>
        <w:rPr>
          <w:b/>
          <w:i/>
          <w:smallCaps/>
        </w:rPr>
      </w:pPr>
      <w:r>
        <w:t>30.2. Le montant figurant dans la Soumission sera corrigé par la Sous-commission d’analyse, conformément à la procédure de correction d’erreurs susmentionnée et, avec la confirmation du Soumissionnaire, ledit montant sera réputé l’engager.</w:t>
      </w:r>
    </w:p>
    <w:p>
      <w:pPr>
        <w:pStyle w:val="3"/>
        <w:widowControl w:val="0"/>
        <w:spacing w:after="60" w:line="360" w:lineRule="auto"/>
        <w:jc w:val="both"/>
        <w:rPr>
          <w:b/>
          <w:i/>
          <w:smallCaps/>
        </w:rPr>
      </w:pPr>
      <w:r>
        <w:t>30.3. Si le Soumissionnaire ayant présenté l’offre évaluée la moins-disante, n’accepte pas les corrections apportées, son offre sera écartée et sa caution de soumission saisie.</w:t>
      </w:r>
    </w:p>
    <w:p>
      <w:pPr>
        <w:pStyle w:val="3"/>
        <w:keepNext/>
        <w:numPr>
          <w:ilvl w:val="0"/>
          <w:numId w:val="13"/>
        </w:numPr>
        <w:spacing w:before="120" w:after="120"/>
        <w:ind w:left="1418" w:hanging="1418"/>
        <w:jc w:val="both"/>
        <w:rPr>
          <w:color w:val="000000"/>
        </w:rPr>
      </w:pPr>
      <w:bookmarkStart w:id="66" w:name="_2hio093" w:colFirst="0" w:colLast="0"/>
      <w:bookmarkEnd w:id="66"/>
      <w:r>
        <w:rPr>
          <w:color w:val="000000"/>
          <w:sz w:val="28"/>
          <w:szCs w:val="28"/>
        </w:rPr>
        <w:t>Conversion en une seule monnaie</w:t>
      </w:r>
    </w:p>
    <w:p>
      <w:pPr>
        <w:pStyle w:val="3"/>
        <w:widowControl w:val="0"/>
        <w:spacing w:after="60" w:line="360" w:lineRule="auto"/>
        <w:jc w:val="both"/>
        <w:rPr>
          <w:b/>
          <w:i/>
          <w:smallCaps/>
        </w:rPr>
      </w:pPr>
      <w:r>
        <w:t>31.1. Pour faciliter l’évaluation et la comparaison des offres, la sous-commission d’analyse convertira les prix des offres exprimés dans les diverses monnaies dans lesquelles le montant de l’offre est payable en francs CFA.</w:t>
      </w:r>
    </w:p>
    <w:p>
      <w:pPr>
        <w:pStyle w:val="3"/>
        <w:widowControl w:val="0"/>
        <w:spacing w:after="60" w:line="360" w:lineRule="auto"/>
        <w:jc w:val="both"/>
        <w:rPr>
          <w:b/>
          <w:i/>
          <w:smallCaps/>
        </w:rPr>
      </w:pPr>
      <w:r>
        <w:t>31.2. La conversion se fera en utilisant le cours vendeur fixé par la Banque des Etats de l’Afrique Centrale (BEAC), dans les conditions définies par le RPAO.</w:t>
      </w:r>
    </w:p>
    <w:p>
      <w:pPr>
        <w:pStyle w:val="3"/>
        <w:keepNext/>
        <w:numPr>
          <w:ilvl w:val="0"/>
          <w:numId w:val="13"/>
        </w:numPr>
        <w:spacing w:before="120" w:after="120"/>
        <w:ind w:left="1418" w:hanging="1418"/>
        <w:jc w:val="both"/>
        <w:rPr>
          <w:color w:val="000000"/>
        </w:rPr>
      </w:pPr>
      <w:bookmarkStart w:id="67" w:name="_wnyagw" w:colFirst="0" w:colLast="0"/>
      <w:bookmarkEnd w:id="67"/>
      <w:r>
        <w:rPr>
          <w:color w:val="000000"/>
          <w:sz w:val="28"/>
          <w:szCs w:val="28"/>
        </w:rPr>
        <w:t xml:space="preserve">Evaluation et comparaison des offres au plan financier </w:t>
      </w:r>
    </w:p>
    <w:p>
      <w:pPr>
        <w:pStyle w:val="3"/>
        <w:widowControl w:val="0"/>
        <w:spacing w:after="60" w:line="360" w:lineRule="auto"/>
        <w:jc w:val="both"/>
        <w:rPr>
          <w:b/>
          <w:i/>
          <w:smallCaps/>
        </w:rPr>
      </w:pPr>
      <w:r>
        <w:t>32.1. Seules les offres reconnues conformes, selon les dispositions des articles 28, 29 du RGAO, seront évaluées et comparées par la Sous - Commission d’Analyse.</w:t>
      </w:r>
    </w:p>
    <w:p>
      <w:pPr>
        <w:pStyle w:val="3"/>
        <w:widowControl w:val="0"/>
        <w:spacing w:after="60" w:line="360" w:lineRule="auto"/>
        <w:jc w:val="both"/>
        <w:rPr>
          <w:b/>
          <w:i/>
          <w:smallCaps/>
        </w:rPr>
      </w:pPr>
      <w:r>
        <w:t>32.2. En évaluant les offres, la sous-commission déterminera pour chaque offre le montant évalué de l’offre en rectifiant son montant comme suit :</w:t>
      </w:r>
    </w:p>
    <w:p>
      <w:pPr>
        <w:pStyle w:val="3"/>
        <w:widowControl w:val="0"/>
        <w:spacing w:after="60" w:line="360" w:lineRule="auto"/>
        <w:ind w:left="567"/>
        <w:jc w:val="both"/>
        <w:rPr>
          <w:b/>
          <w:i/>
          <w:smallCaps/>
        </w:rPr>
      </w:pPr>
      <w:r>
        <w:t>a. En corrigeant toute erreur éventuelle conformément aux dispositions de l’article 30.2 du RGAO ;</w:t>
      </w:r>
    </w:p>
    <w:p>
      <w:pPr>
        <w:pStyle w:val="3"/>
        <w:widowControl w:val="0"/>
        <w:spacing w:after="60" w:line="360" w:lineRule="auto"/>
        <w:ind w:left="567"/>
        <w:jc w:val="both"/>
        <w:rPr>
          <w:b/>
          <w:i/>
          <w:smallCaps/>
        </w:rPr>
      </w:pPr>
      <w: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pPr>
        <w:pStyle w:val="3"/>
        <w:widowControl w:val="0"/>
        <w:spacing w:after="60" w:line="360" w:lineRule="auto"/>
        <w:ind w:left="567"/>
        <w:jc w:val="both"/>
        <w:rPr>
          <w:b/>
          <w:i/>
          <w:smallCaps/>
        </w:rPr>
      </w:pPr>
      <w:r>
        <w:t>c. En convertissant en une seule monnaie le montant résultant des rectifications (a) et (b) ci-dessus, conformément aux dispositions de l’article 31.2 du RGAO ;</w:t>
      </w:r>
    </w:p>
    <w:p>
      <w:pPr>
        <w:pStyle w:val="3"/>
        <w:widowControl w:val="0"/>
        <w:spacing w:after="60" w:line="360" w:lineRule="auto"/>
        <w:ind w:left="567"/>
        <w:jc w:val="both"/>
        <w:rPr>
          <w:b/>
          <w:i/>
          <w:smallCaps/>
        </w:rPr>
      </w:pPr>
      <w:r>
        <w:t>d. En ajustant de façon appropriée, sur des bases techniques ou financières, toute autre modification, divergence ou réserve quantifiable ;</w:t>
      </w:r>
    </w:p>
    <w:p>
      <w:pPr>
        <w:pStyle w:val="3"/>
        <w:widowControl w:val="0"/>
        <w:spacing w:after="60" w:line="360" w:lineRule="auto"/>
        <w:ind w:left="567"/>
        <w:jc w:val="both"/>
        <w:rPr>
          <w:b/>
          <w:i/>
          <w:smallCaps/>
        </w:rPr>
      </w:pPr>
      <w:r>
        <w:t>e. En prenant en considération les différents délais d’exécution proposés par les soumissionnaires, s’ils sont autorisés par le RPAO ;</w:t>
      </w:r>
    </w:p>
    <w:p>
      <w:pPr>
        <w:pStyle w:val="3"/>
        <w:widowControl w:val="0"/>
        <w:spacing w:after="60" w:line="360" w:lineRule="auto"/>
        <w:ind w:left="567"/>
        <w:jc w:val="both"/>
        <w:rPr>
          <w:b/>
          <w:i/>
          <w:smallCaps/>
        </w:rPr>
      </w:pPr>
      <w:r>
        <w:t>f.  Le cas échéant, conformément aux dispositions de l’article 13.2 du RGAO et du RPAO, en appliquant les remises offertes par le Soumissionnaire pour l’attribution de plus d’un lot, si cet appel d’offres est lancé simultanément pour plusieurs lots.</w:t>
      </w:r>
    </w:p>
    <w:p>
      <w:pPr>
        <w:pStyle w:val="3"/>
        <w:widowControl w:val="0"/>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rPr>
          <w:b/>
          <w:i/>
          <w:smallCaps/>
        </w:rPr>
      </w:pPr>
      <w:bookmarkStart w:id="68" w:name="_3gnlt4p" w:colFirst="0" w:colLast="0"/>
      <w:bookmarkEnd w:id="68"/>
      <w: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pPr>
        <w:pStyle w:val="3"/>
        <w:widowControl w:val="0"/>
        <w:spacing w:after="60" w:line="360" w:lineRule="auto"/>
        <w:jc w:val="both"/>
        <w:rPr>
          <w:b/>
          <w:i/>
          <w:smallCaps/>
        </w:rPr>
      </w:pPr>
      <w:r>
        <w:t>32.3. L’effet estimé des formules de révision des prix figurant dans les CCAG et CCAP, appliquées durant la période d’exécution du Marché, ne sera pas pris en considération lors de l’évaluation des offres.</w:t>
      </w:r>
    </w:p>
    <w:p>
      <w:pPr>
        <w:pStyle w:val="3"/>
        <w:widowControl w:val="0"/>
        <w:tabs>
          <w:tab w:val="left" w:pos="1040"/>
          <w:tab w:val="left" w:pos="1820"/>
          <w:tab w:val="left" w:pos="2840"/>
          <w:tab w:val="left" w:pos="3240"/>
          <w:tab w:val="left" w:pos="4760"/>
        </w:tabs>
        <w:spacing w:after="60" w:line="360" w:lineRule="auto"/>
        <w:jc w:val="both"/>
        <w:rPr>
          <w:b/>
          <w:i/>
          <w:smallCaps/>
        </w:rPr>
      </w:pPr>
      <w:bookmarkStart w:id="69" w:name="_1vsw3ci" w:colFirst="0" w:colLast="0"/>
      <w:bookmarkEnd w:id="69"/>
      <w: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pPr>
        <w:pStyle w:val="3"/>
        <w:widowControl w:val="0"/>
        <w:tabs>
          <w:tab w:val="left" w:pos="1040"/>
          <w:tab w:val="left" w:pos="1820"/>
          <w:tab w:val="left" w:pos="2840"/>
          <w:tab w:val="left" w:pos="3240"/>
          <w:tab w:val="left" w:pos="4760"/>
        </w:tabs>
        <w:spacing w:after="60" w:line="360" w:lineRule="auto"/>
        <w:jc w:val="both"/>
        <w:rPr>
          <w:b/>
          <w:i/>
          <w:smallCaps/>
        </w:rPr>
      </w:pPr>
      <w:r>
        <w:t xml:space="preserve">32.5 Sur proposition de la sous-commission d’analyse, le Président de la Commission de Passation de marchés peut demander aux soumissionnaires ou aux administrations et organismes compétents des éclaircissements sur les offres.  </w:t>
      </w:r>
    </w:p>
    <w:p>
      <w:pPr>
        <w:pStyle w:val="3"/>
        <w:widowControl w:val="0"/>
        <w:tabs>
          <w:tab w:val="left" w:pos="1040"/>
          <w:tab w:val="left" w:pos="1820"/>
          <w:tab w:val="left" w:pos="2840"/>
          <w:tab w:val="left" w:pos="3240"/>
          <w:tab w:val="left" w:pos="4760"/>
        </w:tabs>
        <w:spacing w:after="60" w:line="360" w:lineRule="auto"/>
        <w:jc w:val="both"/>
        <w:rPr>
          <w:b/>
          <w:i/>
          <w:smallCaps/>
        </w:rPr>
      </w:pPr>
      <w: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pPr>
        <w:pStyle w:val="3"/>
        <w:widowControl w:val="0"/>
        <w:tabs>
          <w:tab w:val="left" w:pos="1040"/>
          <w:tab w:val="left" w:pos="1820"/>
          <w:tab w:val="left" w:pos="2840"/>
          <w:tab w:val="left" w:pos="3240"/>
          <w:tab w:val="left" w:pos="4760"/>
        </w:tabs>
        <w:spacing w:after="60" w:line="360" w:lineRule="auto"/>
        <w:jc w:val="both"/>
        <w:rPr>
          <w:b/>
          <w:i/>
          <w:smallCaps/>
        </w:rPr>
      </w:pPr>
      <w:r>
        <w:t>Le Maître d’Ouvrage ou le Maître d’Ouvrage Délégué tient compte de l’avis l’organisme chargé de la régulation des marchés publics pour se prononcer.</w:t>
      </w:r>
    </w:p>
    <w:p>
      <w:pPr>
        <w:pStyle w:val="3"/>
        <w:keepNext/>
        <w:numPr>
          <w:ilvl w:val="0"/>
          <w:numId w:val="13"/>
        </w:numPr>
        <w:spacing w:before="120" w:after="120"/>
        <w:ind w:left="1418" w:hanging="1418"/>
        <w:jc w:val="both"/>
        <w:rPr>
          <w:color w:val="000000"/>
        </w:rPr>
      </w:pPr>
      <w:bookmarkStart w:id="70" w:name="_4fsjm0b" w:colFirst="0" w:colLast="0"/>
      <w:bookmarkEnd w:id="70"/>
      <w:r>
        <w:rPr>
          <w:color w:val="000000"/>
          <w:sz w:val="28"/>
          <w:szCs w:val="28"/>
        </w:rPr>
        <w:t>Préférence accordée aux soumissionnaires nationaux</w:t>
      </w:r>
    </w:p>
    <w:p>
      <w:pPr>
        <w:pStyle w:val="3"/>
        <w:widowControl w:val="0"/>
        <w:spacing w:after="60" w:line="360" w:lineRule="auto"/>
        <w:jc w:val="both"/>
        <w:rPr>
          <w:b/>
          <w:i/>
          <w:smallCaps/>
        </w:rPr>
      </w:pPr>
      <w:r>
        <w:t>33.1 Lors de la passation d’un marché dans le cadre d’une consultation internationale, une marge de préférence est accordée, à offres équivalentes et dans l’ordre de priorité, aux soumissions présentées par :</w:t>
      </w:r>
    </w:p>
    <w:p>
      <w:pPr>
        <w:pStyle w:val="3"/>
        <w:widowControl w:val="0"/>
        <w:numPr>
          <w:ilvl w:val="0"/>
          <w:numId w:val="19"/>
        </w:numPr>
        <w:spacing w:after="60" w:line="360" w:lineRule="auto"/>
        <w:ind w:left="284" w:firstLine="76"/>
        <w:jc w:val="both"/>
      </w:pPr>
      <w:r>
        <w:rPr>
          <w:color w:val="000000"/>
        </w:rPr>
        <w:t>Une personne physique de nationalité camerounaise ou une personne morale de droit camerounais ;</w:t>
      </w:r>
    </w:p>
    <w:p>
      <w:pPr>
        <w:pStyle w:val="3"/>
        <w:widowControl w:val="0"/>
        <w:numPr>
          <w:ilvl w:val="0"/>
          <w:numId w:val="19"/>
        </w:numPr>
        <w:spacing w:after="60" w:line="360" w:lineRule="auto"/>
        <w:ind w:left="284" w:firstLine="76"/>
        <w:jc w:val="both"/>
      </w:pPr>
      <w:r>
        <w:rPr>
          <w:color w:val="000000"/>
        </w:rPr>
        <w:t>Une entreprise dont le capital est intégralement ou majoritairement détenu par des personnes de nationalité camerounaise ;</w:t>
      </w:r>
    </w:p>
    <w:p>
      <w:pPr>
        <w:pStyle w:val="3"/>
        <w:widowControl w:val="0"/>
        <w:numPr>
          <w:ilvl w:val="0"/>
          <w:numId w:val="19"/>
        </w:numPr>
        <w:spacing w:after="60" w:line="360" w:lineRule="auto"/>
        <w:ind w:left="284" w:firstLine="76"/>
        <w:jc w:val="both"/>
      </w:pPr>
      <w:r>
        <w:rPr>
          <w:color w:val="000000"/>
        </w:rPr>
        <w:t>Une personne physique ou une personne morale justifiant d’une activité économique sur le territoire du Cameroun ;</w:t>
      </w:r>
    </w:p>
    <w:p>
      <w:pPr>
        <w:pStyle w:val="3"/>
        <w:widowControl w:val="0"/>
        <w:numPr>
          <w:ilvl w:val="0"/>
          <w:numId w:val="19"/>
        </w:numPr>
        <w:spacing w:after="60" w:line="360" w:lineRule="auto"/>
        <w:jc w:val="both"/>
      </w:pPr>
      <w:r>
        <w:rPr>
          <w:color w:val="000000"/>
        </w:rPr>
        <w:t>Un groupement d’entreprises associant des entreprises camerounaises.</w:t>
      </w:r>
    </w:p>
    <w:p>
      <w:pPr>
        <w:pStyle w:val="3"/>
        <w:widowControl w:val="0"/>
        <w:numPr>
          <w:ilvl w:val="1"/>
          <w:numId w:val="20"/>
        </w:numPr>
        <w:spacing w:after="60" w:line="360" w:lineRule="auto"/>
        <w:ind w:left="426"/>
        <w:jc w:val="both"/>
        <w:rPr>
          <w:color w:val="000000"/>
        </w:rPr>
      </w:pPr>
      <w:r>
        <w:rPr>
          <w:color w:val="000000"/>
        </w:rPr>
        <w:t>Les offres sont considérées équivalentes lorsqu’elles ont rempli les conditions techniques requises.</w:t>
      </w:r>
    </w:p>
    <w:p>
      <w:pPr>
        <w:pStyle w:val="3"/>
        <w:widowControl w:val="0"/>
        <w:numPr>
          <w:ilvl w:val="1"/>
          <w:numId w:val="20"/>
        </w:numPr>
        <w:spacing w:after="60" w:line="360" w:lineRule="auto"/>
        <w:ind w:left="426"/>
        <w:jc w:val="both"/>
        <w:rPr>
          <w:color w:val="000000"/>
        </w:rPr>
      </w:pPr>
      <w:r>
        <w:rPr>
          <w:color w:val="000000"/>
        </w:rPr>
        <w:t xml:space="preserve">Pour les marchés de travaux, la marge de préférence nationale est de dix pour cent (10%).  </w:t>
      </w:r>
    </w:p>
    <w:p>
      <w:pPr>
        <w:pStyle w:val="3"/>
        <w:widowControl w:val="0"/>
        <w:numPr>
          <w:ilvl w:val="1"/>
          <w:numId w:val="20"/>
        </w:numPr>
        <w:spacing w:after="60" w:line="360" w:lineRule="auto"/>
        <w:ind w:left="426"/>
        <w:jc w:val="both"/>
        <w:rPr>
          <w:color w:val="000000"/>
        </w:rPr>
      </w:pPr>
      <w:r>
        <w:rPr>
          <w:color w:val="000000"/>
        </w:rPr>
        <w:t>La préférence nationale ne peut être appliquée que lorsque le dossier d’appel d’offres le prévoit.</w:t>
      </w:r>
    </w:p>
    <w:p>
      <w:pPr>
        <w:pStyle w:val="3"/>
        <w:keepNext/>
        <w:numPr>
          <w:ilvl w:val="0"/>
          <w:numId w:val="12"/>
        </w:numPr>
        <w:ind w:left="714" w:hanging="357"/>
        <w:jc w:val="center"/>
        <w:rPr>
          <w:smallCaps/>
          <w:color w:val="000000"/>
          <w:sz w:val="32"/>
          <w:szCs w:val="32"/>
        </w:rPr>
      </w:pPr>
      <w:bookmarkStart w:id="71" w:name="_2uxtw84" w:colFirst="0" w:colLast="0"/>
      <w:bookmarkEnd w:id="71"/>
      <w:r>
        <w:rPr>
          <w:smallCaps/>
          <w:color w:val="000000"/>
          <w:sz w:val="32"/>
          <w:szCs w:val="32"/>
        </w:rPr>
        <w:t>ATTRIBUTION</w:t>
      </w:r>
    </w:p>
    <w:p>
      <w:pPr>
        <w:pStyle w:val="3"/>
        <w:keepNext/>
        <w:numPr>
          <w:ilvl w:val="0"/>
          <w:numId w:val="13"/>
        </w:numPr>
        <w:spacing w:before="120" w:after="120"/>
        <w:ind w:left="1418" w:hanging="1418"/>
        <w:jc w:val="both"/>
        <w:rPr>
          <w:color w:val="000000"/>
        </w:rPr>
      </w:pPr>
      <w:bookmarkStart w:id="72" w:name="_1a346fx" w:colFirst="0" w:colLast="0"/>
      <w:bookmarkEnd w:id="72"/>
      <w:r>
        <w:rPr>
          <w:color w:val="000000"/>
          <w:sz w:val="28"/>
          <w:szCs w:val="28"/>
        </w:rPr>
        <w:t>Attribution</w:t>
      </w:r>
    </w:p>
    <w:p>
      <w:pPr>
        <w:pStyle w:val="3"/>
        <w:widowControl w:val="0"/>
        <w:tabs>
          <w:tab w:val="left" w:pos="1700"/>
          <w:tab w:val="left" w:pos="2100"/>
          <w:tab w:val="left" w:pos="2620"/>
          <w:tab w:val="left" w:pos="3640"/>
          <w:tab w:val="left" w:pos="4220"/>
        </w:tabs>
        <w:spacing w:after="60" w:line="360" w:lineRule="auto"/>
        <w:jc w:val="both"/>
        <w:rPr>
          <w:b/>
          <w:i/>
          <w:smallCaps/>
        </w:rPr>
      </w:pPr>
      <w: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pPr>
        <w:pStyle w:val="3"/>
        <w:widowControl w:val="0"/>
        <w:spacing w:after="60" w:line="360" w:lineRule="auto"/>
        <w:jc w:val="both"/>
        <w:rPr>
          <w:sz w:val="20"/>
          <w:szCs w:val="20"/>
        </w:rPr>
      </w:pPr>
      <w:r>
        <w:t xml:space="preserve">34 2. Si l’Appel d’Offres porte sur plusieurs lots, l’attribution se fera selon les prescriptions du RPAO. </w:t>
      </w:r>
    </w:p>
    <w:p>
      <w:pPr>
        <w:pStyle w:val="3"/>
        <w:widowControl w:val="0"/>
        <w:tabs>
          <w:tab w:val="left" w:pos="1700"/>
          <w:tab w:val="left" w:pos="2100"/>
          <w:tab w:val="left" w:pos="2620"/>
          <w:tab w:val="left" w:pos="3640"/>
          <w:tab w:val="left" w:pos="4220"/>
        </w:tabs>
        <w:spacing w:after="60" w:line="360" w:lineRule="auto"/>
        <w:jc w:val="both"/>
        <w:rPr>
          <w:b/>
          <w:i/>
          <w:smallCaps/>
        </w:rPr>
      </w:pPr>
      <w: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pPr>
        <w:pStyle w:val="3"/>
        <w:widowControl w:val="0"/>
        <w:spacing w:after="60" w:line="360" w:lineRule="auto"/>
        <w:jc w:val="both"/>
        <w:rPr>
          <w:b/>
          <w:i/>
          <w:smallCaps/>
        </w:rPr>
      </w:pPr>
      <w: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pPr>
        <w:pStyle w:val="3"/>
        <w:keepNext/>
        <w:numPr>
          <w:ilvl w:val="0"/>
          <w:numId w:val="13"/>
        </w:numPr>
        <w:spacing w:before="120" w:after="120"/>
        <w:ind w:left="1418" w:hanging="1418"/>
        <w:jc w:val="both"/>
        <w:rPr>
          <w:color w:val="000000"/>
        </w:rPr>
      </w:pPr>
      <w:bookmarkStart w:id="73" w:name="_3u2rp3q" w:colFirst="0" w:colLast="0"/>
      <w:bookmarkEnd w:id="73"/>
      <w:r>
        <w:rPr>
          <w:color w:val="000000"/>
          <w:sz w:val="28"/>
          <w:szCs w:val="28"/>
        </w:rPr>
        <w:t>Droit du Maître d’Ouvrage ou du Maître d’Ouvrage Délégué de déclarer un Appel d’Offres infructueux ou d’annuler une procédure</w:t>
      </w:r>
    </w:p>
    <w:p>
      <w:pPr>
        <w:pStyle w:val="3"/>
        <w:widowControl w:val="0"/>
        <w:tabs>
          <w:tab w:val="left" w:pos="600"/>
          <w:tab w:val="left" w:pos="1500"/>
          <w:tab w:val="left" w:pos="2800"/>
          <w:tab w:val="left" w:pos="3300"/>
          <w:tab w:val="left" w:pos="4320"/>
          <w:tab w:val="left" w:pos="4740"/>
        </w:tabs>
        <w:spacing w:after="60" w:line="360" w:lineRule="auto"/>
        <w:ind w:right="-19"/>
        <w:jc w:val="both"/>
        <w:rPr>
          <w:b/>
          <w:i/>
          <w:smallCaps/>
        </w:rPr>
      </w:pPr>
      <w:r>
        <w:t>35.1 Le Maître d’Ouvrage ou le Maître d’Ouvrage Délégué se réserve le droit d’annuler un Appel d’Offres ou de déclarer un appel d’offres infructueux après avis de la commission des marchés compétente sans qu’il y’ait lieu à réclamation.</w:t>
      </w:r>
    </w:p>
    <w:p>
      <w:pPr>
        <w:pStyle w:val="3"/>
        <w:widowControl w:val="0"/>
        <w:tabs>
          <w:tab w:val="left" w:pos="600"/>
          <w:tab w:val="left" w:pos="1500"/>
          <w:tab w:val="left" w:pos="2800"/>
          <w:tab w:val="left" w:pos="3300"/>
          <w:tab w:val="left" w:pos="4320"/>
          <w:tab w:val="left" w:pos="4740"/>
        </w:tabs>
        <w:spacing w:after="60" w:line="360" w:lineRule="auto"/>
        <w:ind w:right="-19"/>
        <w:jc w:val="both"/>
        <w:rPr>
          <w:b/>
          <w:i/>
          <w:smallCaps/>
        </w:rPr>
      </w:pPr>
      <w:r>
        <w:t>Toutefois, lorsque les offres ont déjà été ouvertes, l’annulation est subordonnée à l’accord de l’Autorité chargée des Marchés Publics.</w:t>
      </w:r>
    </w:p>
    <w:p>
      <w:pPr>
        <w:pStyle w:val="3"/>
        <w:widowControl w:val="0"/>
        <w:spacing w:after="60" w:line="360" w:lineRule="auto"/>
        <w:jc w:val="both"/>
        <w:rPr>
          <w:sz w:val="20"/>
          <w:szCs w:val="20"/>
        </w:rPr>
      </w:pPr>
      <w: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pPr>
        <w:pStyle w:val="3"/>
        <w:spacing w:after="60" w:line="360" w:lineRule="auto"/>
        <w:jc w:val="both"/>
        <w:rPr>
          <w:b/>
          <w:i/>
          <w:smallCaps/>
        </w:rPr>
      </w:pPr>
      <w:r>
        <w:t>35.3 En cas d'allotissement, les dispositions prévues aux alinéas ci-dessus sont applicables à chacun des lots.</w:t>
      </w:r>
    </w:p>
    <w:p>
      <w:pPr>
        <w:pStyle w:val="3"/>
        <w:keepNext/>
        <w:numPr>
          <w:ilvl w:val="0"/>
          <w:numId w:val="13"/>
        </w:numPr>
        <w:spacing w:before="120" w:after="120"/>
        <w:ind w:left="1418" w:hanging="1418"/>
        <w:jc w:val="both"/>
        <w:rPr>
          <w:color w:val="000000"/>
        </w:rPr>
      </w:pPr>
      <w:bookmarkStart w:id="74" w:name="_2981zbj" w:colFirst="0" w:colLast="0"/>
      <w:bookmarkEnd w:id="74"/>
      <w:r>
        <w:rPr>
          <w:color w:val="000000"/>
          <w:sz w:val="28"/>
          <w:szCs w:val="28"/>
        </w:rPr>
        <w:t>Notification de l’attribution du marché</w:t>
      </w:r>
    </w:p>
    <w:p>
      <w:pPr>
        <w:pStyle w:val="3"/>
        <w:widowControl w:val="0"/>
        <w:spacing w:after="60" w:line="360" w:lineRule="auto"/>
        <w:ind w:right="-15"/>
        <w:jc w:val="both"/>
        <w:rPr>
          <w:b/>
          <w:i/>
          <w:smallCaps/>
        </w:rPr>
      </w:pPr>
      <w:r>
        <w:t>36.1 Toute attribution d’un marché est matérialisée par une décision du Maître d’Ouvrage ou du Maître d’Ouvrage Délégué et notifiée à l’attributaire dans un délai maximum de soixante-douze (72) heures à compter de sa signature.</w:t>
      </w:r>
    </w:p>
    <w:p>
      <w:pPr>
        <w:pStyle w:val="3"/>
        <w:widowControl w:val="0"/>
        <w:tabs>
          <w:tab w:val="left" w:pos="1140"/>
          <w:tab w:val="left" w:pos="1720"/>
          <w:tab w:val="left" w:pos="2100"/>
          <w:tab w:val="left" w:pos="2960"/>
          <w:tab w:val="left" w:pos="4220"/>
          <w:tab w:val="left" w:pos="5060"/>
        </w:tabs>
        <w:spacing w:after="60" w:line="360" w:lineRule="auto"/>
        <w:jc w:val="both"/>
        <w:rPr>
          <w:b/>
          <w:i/>
          <w:smallCaps/>
        </w:rPr>
      </w:pPr>
      <w: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pPr>
        <w:pStyle w:val="3"/>
        <w:keepNext/>
        <w:numPr>
          <w:ilvl w:val="0"/>
          <w:numId w:val="13"/>
        </w:numPr>
        <w:spacing w:before="120" w:after="120"/>
        <w:ind w:left="1418" w:hanging="1418"/>
        <w:jc w:val="both"/>
        <w:rPr>
          <w:color w:val="000000"/>
        </w:rPr>
      </w:pPr>
      <w:bookmarkStart w:id="75" w:name="_odc9jc" w:colFirst="0" w:colLast="0"/>
      <w:bookmarkEnd w:id="75"/>
      <w:r>
        <w:rPr>
          <w:color w:val="000000"/>
          <w:sz w:val="28"/>
          <w:szCs w:val="28"/>
        </w:rPr>
        <w:t>Publication des résultats d’attribution du marché et recours</w:t>
      </w:r>
    </w:p>
    <w:p>
      <w:pPr>
        <w:pStyle w:val="3"/>
        <w:widowControl w:val="0"/>
        <w:spacing w:after="60" w:line="360" w:lineRule="auto"/>
        <w:jc w:val="both"/>
        <w:rPr>
          <w:b/>
          <w:i/>
          <w:smallCaps/>
        </w:rPr>
      </w:pPr>
      <w: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pPr>
        <w:pStyle w:val="3"/>
        <w:widowControl w:val="0"/>
        <w:spacing w:after="60" w:line="360" w:lineRule="auto"/>
        <w:jc w:val="both"/>
        <w:rPr>
          <w:sz w:val="20"/>
          <w:szCs w:val="20"/>
        </w:rPr>
      </w:pPr>
      <w: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pPr>
        <w:pStyle w:val="3"/>
        <w:widowControl w:val="0"/>
        <w:spacing w:after="60" w:line="360" w:lineRule="auto"/>
        <w:jc w:val="both"/>
        <w:rPr>
          <w:b/>
          <w:i/>
          <w:smallCaps/>
        </w:rPr>
      </w:pPr>
      <w:r>
        <w:t>37.3 Dès publication des résultats portant attribution, le Maître d’Ouvrage ou le Maître d’Ouvrage Délégué adresse à chaque soumissionnaire qui en fait la demande, un extrait du rapport d’analyse le concernant.</w:t>
      </w:r>
    </w:p>
    <w:p>
      <w:pPr>
        <w:pStyle w:val="3"/>
        <w:widowControl w:val="0"/>
        <w:spacing w:after="60" w:line="360" w:lineRule="auto"/>
        <w:jc w:val="both"/>
        <w:rPr>
          <w:b/>
          <w:i/>
          <w:smallCaps/>
        </w:rPr>
      </w:pPr>
      <w: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pPr>
        <w:pStyle w:val="3"/>
        <w:widowControl w:val="0"/>
        <w:spacing w:after="60" w:line="360" w:lineRule="auto"/>
        <w:jc w:val="both"/>
        <w:rPr>
          <w:b/>
          <w:i/>
          <w:smallCaps/>
        </w:rPr>
      </w:pPr>
      <w: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pPr>
        <w:pStyle w:val="3"/>
        <w:widowControl w:val="0"/>
        <w:spacing w:after="60" w:line="360" w:lineRule="auto"/>
        <w:jc w:val="both"/>
        <w:rPr>
          <w:b/>
          <w:i/>
          <w:smallCaps/>
        </w:rPr>
      </w:pPr>
      <w:r>
        <w:t>Il doit intervenir dans un délai maximum de cinq (05) jours ouvrables après la publication des résultats.</w:t>
      </w:r>
    </w:p>
    <w:p>
      <w:pPr>
        <w:pStyle w:val="3"/>
        <w:widowControl w:val="0"/>
        <w:spacing w:after="60" w:line="360" w:lineRule="auto"/>
        <w:jc w:val="both"/>
        <w:rPr>
          <w:b/>
          <w:i/>
          <w:smallCaps/>
        </w:rPr>
      </w:pPr>
      <w:r>
        <w:t>37.6 Ce recours peut donner lieu à la suspension de la procédure à l’appréciation de l’organisme chargé de la régulation des marchés publics.</w:t>
      </w:r>
    </w:p>
    <w:p>
      <w:pPr>
        <w:pStyle w:val="3"/>
        <w:keepNext/>
        <w:numPr>
          <w:ilvl w:val="0"/>
          <w:numId w:val="13"/>
        </w:numPr>
        <w:spacing w:before="120" w:after="120"/>
        <w:ind w:left="1418" w:hanging="1418"/>
        <w:jc w:val="both"/>
        <w:rPr>
          <w:color w:val="000000"/>
        </w:rPr>
      </w:pPr>
      <w:bookmarkStart w:id="76" w:name="_38czs75" w:colFirst="0" w:colLast="0"/>
      <w:bookmarkEnd w:id="76"/>
      <w:r>
        <w:rPr>
          <w:color w:val="000000"/>
          <w:sz w:val="28"/>
          <w:szCs w:val="28"/>
        </w:rPr>
        <w:t xml:space="preserve">Signature du marché </w:t>
      </w:r>
    </w:p>
    <w:p>
      <w:pPr>
        <w:pStyle w:val="3"/>
        <w:widowControl w:val="0"/>
        <w:spacing w:after="60" w:line="360" w:lineRule="auto"/>
        <w:jc w:val="both"/>
        <w:rPr>
          <w:b/>
          <w:i/>
          <w:smallCaps/>
        </w:rPr>
      </w:pPr>
      <w:r>
        <w:t>38.1. Après publication des résultats, le Maître d’Ouvrage ou le Maître d’Ouvrage Délégué dispose d’un délai de cinq (05) jours ouvrables pour la signature du marché à compter de la date de souscription du projet de marché par l’attributaire</w:t>
      </w:r>
    </w:p>
    <w:p>
      <w:pPr>
        <w:pStyle w:val="3"/>
        <w:widowControl w:val="0"/>
        <w:spacing w:after="60" w:line="360" w:lineRule="auto"/>
        <w:jc w:val="both"/>
      </w:pPr>
      <w: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w:t>
      </w:r>
    </w:p>
    <w:p>
      <w:pPr>
        <w:pStyle w:val="3"/>
        <w:widowControl w:val="0"/>
        <w:spacing w:after="60" w:line="360" w:lineRule="auto"/>
        <w:jc w:val="both"/>
      </w:pPr>
    </w:p>
    <w:p>
      <w:pPr>
        <w:pStyle w:val="3"/>
        <w:widowControl w:val="0"/>
        <w:spacing w:after="60" w:line="360" w:lineRule="auto"/>
        <w:jc w:val="both"/>
      </w:pPr>
      <w:r>
        <w:t>le marché est attribué au candidat classé en seconde position.</w:t>
      </w:r>
    </w:p>
    <w:p>
      <w:pPr>
        <w:pStyle w:val="3"/>
        <w:widowControl w:val="0"/>
        <w:spacing w:after="60" w:line="360" w:lineRule="auto"/>
        <w:jc w:val="both"/>
        <w:rPr>
          <w:sz w:val="20"/>
          <w:szCs w:val="20"/>
        </w:rPr>
      </w:pPr>
      <w: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pPr>
        <w:pStyle w:val="3"/>
        <w:widowControl w:val="0"/>
        <w:spacing w:after="60" w:line="360" w:lineRule="auto"/>
        <w:jc w:val="both"/>
        <w:rPr>
          <w:b/>
          <w:i/>
          <w:smallCaps/>
        </w:rPr>
      </w:pPr>
      <w:r>
        <w:t>38.4. Le Maître d’Ouvrage ou le Maître d’Ouvrage Délégué notifie le marché à son titulaire dans les cinq (5) jours ouvrables qui suivent la date de sa signature.</w:t>
      </w:r>
    </w:p>
    <w:p>
      <w:pPr>
        <w:pStyle w:val="3"/>
        <w:widowControl w:val="0"/>
        <w:spacing w:after="60" w:line="360" w:lineRule="auto"/>
        <w:jc w:val="both"/>
        <w:rPr>
          <w:b/>
          <w:i/>
          <w:smallCaps/>
        </w:rPr>
      </w:pPr>
      <w:r>
        <w:rPr>
          <w:color w:val="000000"/>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pPr>
        <w:pStyle w:val="3"/>
        <w:keepNext/>
        <w:numPr>
          <w:ilvl w:val="0"/>
          <w:numId w:val="13"/>
        </w:numPr>
        <w:spacing w:before="120" w:after="120"/>
        <w:ind w:left="1418" w:hanging="1418"/>
        <w:jc w:val="both"/>
        <w:rPr>
          <w:color w:val="000000"/>
        </w:rPr>
      </w:pPr>
      <w:bookmarkStart w:id="77" w:name="_1nia2ey" w:colFirst="0" w:colLast="0"/>
      <w:bookmarkEnd w:id="77"/>
      <w:r>
        <w:rPr>
          <w:color w:val="000000"/>
          <w:sz w:val="28"/>
          <w:szCs w:val="28"/>
        </w:rPr>
        <w:t>Cautionnement définitif</w:t>
      </w:r>
    </w:p>
    <w:p>
      <w:pPr>
        <w:pStyle w:val="3"/>
        <w:widowControl w:val="0"/>
        <w:spacing w:after="60" w:line="360" w:lineRule="auto"/>
        <w:jc w:val="both"/>
        <w:rPr>
          <w:b/>
          <w:i/>
          <w:smallCaps/>
        </w:rPr>
      </w:pPr>
      <w: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Pr>
          <w:i/>
        </w:rPr>
        <w:t>.</w:t>
      </w:r>
    </w:p>
    <w:p>
      <w:pPr>
        <w:pStyle w:val="3"/>
        <w:widowControl w:val="0"/>
        <w:spacing w:after="60" w:line="360" w:lineRule="auto"/>
        <w:jc w:val="both"/>
        <w:rPr>
          <w:b/>
          <w:i/>
          <w:smallCaps/>
        </w:rPr>
      </w:pPr>
      <w: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pPr>
        <w:pStyle w:val="3"/>
        <w:widowControl w:val="0"/>
        <w:spacing w:after="60" w:line="360" w:lineRule="auto"/>
        <w:jc w:val="both"/>
        <w:rPr>
          <w:sz w:val="20"/>
          <w:szCs w:val="20"/>
        </w:rPr>
      </w:pPr>
      <w: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pPr>
        <w:pStyle w:val="3"/>
        <w:widowControl w:val="0"/>
        <w:spacing w:after="60" w:line="360" w:lineRule="auto"/>
        <w:jc w:val="both"/>
        <w:rPr>
          <w:b/>
          <w:i/>
          <w:smallCaps/>
        </w:rPr>
      </w:pPr>
      <w:r>
        <w:t>39.4. L’absence de production du cautionnement définitif dans les délais prescrits est susceptible de donner lieu à la résiliation du marché dans les conditions prévues dans le CCAG. Dans ce cas, le cautionnement de soumission est saisi par le Maître d’ouvrage.</w:t>
      </w:r>
    </w:p>
    <w:p>
      <w:pPr>
        <w:pStyle w:val="3"/>
        <w:widowControl w:val="0"/>
        <w:tabs>
          <w:tab w:val="left" w:pos="1580"/>
          <w:tab w:val="left" w:pos="2300"/>
          <w:tab w:val="left" w:pos="2840"/>
          <w:tab w:val="left" w:pos="3660"/>
          <w:tab w:val="left" w:pos="4760"/>
        </w:tabs>
        <w:spacing w:after="60" w:line="360" w:lineRule="auto"/>
        <w:jc w:val="both"/>
        <w:rPr>
          <w:sz w:val="20"/>
          <w:szCs w:val="20"/>
        </w:rPr>
      </w:pPr>
      <w:bookmarkStart w:id="78" w:name="_47hxl2r" w:colFirst="0" w:colLast="0"/>
      <w:bookmarkEnd w:id="78"/>
      <w:r>
        <w:t>39.5. Les titulaires d’une lettre-commande peuvent être dispensés de l’obligation de fournir le cautionnement définitif.</w:t>
      </w:r>
    </w:p>
    <w:p>
      <w:pPr>
        <w:pStyle w:val="3"/>
        <w:widowControl w:val="0"/>
        <w:tabs>
          <w:tab w:val="left" w:pos="1580"/>
          <w:tab w:val="left" w:pos="2300"/>
          <w:tab w:val="left" w:pos="2840"/>
          <w:tab w:val="left" w:pos="3660"/>
          <w:tab w:val="left" w:pos="4760"/>
        </w:tabs>
        <w:spacing w:after="60" w:line="360" w:lineRule="auto"/>
        <w:jc w:val="both"/>
        <w:rPr>
          <w:sz w:val="20"/>
          <w:szCs w:val="20"/>
        </w:rPr>
      </w:pPr>
    </w:p>
    <w:p>
      <w:pPr>
        <w:pStyle w:val="3"/>
        <w:widowControl w:val="0"/>
        <w:tabs>
          <w:tab w:val="left" w:pos="1580"/>
          <w:tab w:val="left" w:pos="2300"/>
          <w:tab w:val="left" w:pos="2840"/>
          <w:tab w:val="left" w:pos="3660"/>
          <w:tab w:val="left" w:pos="4760"/>
        </w:tabs>
        <w:spacing w:after="60" w:line="360" w:lineRule="auto"/>
        <w:jc w:val="both"/>
        <w:rPr>
          <w:sz w:val="20"/>
          <w:szCs w:val="20"/>
        </w:rPr>
      </w:pPr>
    </w:p>
    <w:p>
      <w:pPr>
        <w:pStyle w:val="3"/>
        <w:widowControl w:val="0"/>
        <w:tabs>
          <w:tab w:val="left" w:pos="1580"/>
          <w:tab w:val="left" w:pos="2300"/>
          <w:tab w:val="left" w:pos="2840"/>
          <w:tab w:val="left" w:pos="3660"/>
          <w:tab w:val="left" w:pos="4760"/>
        </w:tabs>
        <w:spacing w:after="60" w:line="360" w:lineRule="auto"/>
        <w:jc w:val="both"/>
        <w:rPr>
          <w:sz w:val="20"/>
          <w:szCs w:val="20"/>
        </w:rPr>
        <w:sectPr>
          <w:headerReference r:id="rId3" w:type="default"/>
          <w:footerReference r:id="rId4" w:type="default"/>
          <w:pgSz w:w="11900" w:h="16820"/>
          <w:pgMar w:top="1134" w:right="1134" w:bottom="1134" w:left="1134" w:header="720" w:footer="720" w:gutter="0"/>
          <w:pgNumType w:start="1"/>
          <w:cols w:space="720" w:num="1"/>
        </w:sectPr>
      </w:pPr>
    </w:p>
    <w:p>
      <w:pPr>
        <w:pStyle w:val="3"/>
        <w:widowControl w:val="0"/>
        <w:spacing w:line="360" w:lineRule="auto"/>
        <w:jc w:val="both"/>
        <w:rPr>
          <w:b/>
          <w:i/>
          <w:smallCaps/>
        </w:rPr>
      </w:pPr>
    </w:p>
    <w:p>
      <w:pPr>
        <w:pStyle w:val="3"/>
        <w:widowControl w:val="0"/>
        <w:spacing w:line="360" w:lineRule="auto"/>
        <w:jc w:val="both"/>
        <w:rPr>
          <w:b/>
          <w:i/>
          <w:smallCaps/>
        </w:rPr>
      </w:pPr>
    </w:p>
    <w:p>
      <w:pPr>
        <w:pStyle w:val="3"/>
        <w:rPr>
          <w:b/>
          <w:i/>
          <w:smallCaps/>
        </w:rPr>
      </w:pPr>
      <w:r>
        <w:br w:type="textWrapping"/>
      </w:r>
    </w:p>
    <w:p>
      <w:pPr>
        <w:pStyle w:val="3"/>
        <w:rPr>
          <w:b/>
          <w:i/>
          <w:smallCaps/>
        </w:rPr>
      </w:pPr>
      <w:bookmarkStart w:id="79" w:name="_2mn7vak" w:colFirst="0" w:colLast="0"/>
      <w:bookmarkEnd w:id="79"/>
      <w:r>
        <w:t> </w:t>
      </w:r>
      <w:r>
        <w:br w:type="textWrapping"/>
      </w: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widowControl w:val="0"/>
        <w:ind w:left="851" w:firstLine="1"/>
        <w:jc w:val="center"/>
        <w:rPr>
          <w:b/>
          <w:smallCaps/>
          <w:color w:val="000000"/>
          <w:sz w:val="36"/>
          <w:szCs w:val="36"/>
        </w:rPr>
      </w:pPr>
      <w:r>
        <w:rPr>
          <w:b/>
          <w:smallCaps/>
          <w:color w:val="000000"/>
          <w:sz w:val="36"/>
          <w:szCs w:val="36"/>
        </w:rPr>
        <w:t xml:space="preserve">PIÈCE N°3 </w:t>
      </w:r>
    </w:p>
    <w:p>
      <w:pPr>
        <w:pStyle w:val="3"/>
        <w:widowControl w:val="0"/>
        <w:ind w:left="851" w:firstLine="1"/>
        <w:jc w:val="center"/>
        <w:rPr>
          <w:b/>
          <w:smallCaps/>
          <w:color w:val="000000"/>
          <w:sz w:val="36"/>
          <w:szCs w:val="36"/>
        </w:rPr>
      </w:pPr>
      <w:bookmarkStart w:id="80" w:name="_11si5id" w:colFirst="0" w:colLast="0"/>
      <w:bookmarkEnd w:id="80"/>
      <w:r>
        <w:rPr>
          <w:b/>
          <w:smallCaps/>
          <w:color w:val="000000"/>
          <w:sz w:val="36"/>
          <w:szCs w:val="36"/>
        </w:rPr>
        <w:t>RÈGLEMENT PARTICULIER DE L’APPEL D’OFFRES (RPAO)</w:t>
      </w: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spacing w:line="360" w:lineRule="auto"/>
        <w:jc w:val="center"/>
        <w:rPr>
          <w:b/>
          <w:smallCaps/>
          <w:color w:val="000000"/>
          <w:sz w:val="36"/>
          <w:szCs w:val="36"/>
        </w:rPr>
      </w:pPr>
    </w:p>
    <w:p>
      <w:pPr>
        <w:pStyle w:val="3"/>
        <w:widowControl w:val="0"/>
        <w:spacing w:line="360" w:lineRule="auto"/>
        <w:jc w:val="center"/>
        <w:rPr>
          <w:b/>
          <w:smallCaps/>
          <w:color w:val="000000"/>
          <w:sz w:val="36"/>
          <w:szCs w:val="36"/>
        </w:rPr>
      </w:pPr>
    </w:p>
    <w:p>
      <w:pPr>
        <w:pStyle w:val="3"/>
        <w:widowControl w:val="0"/>
        <w:spacing w:line="360" w:lineRule="auto"/>
        <w:rPr>
          <w:b/>
          <w:smallCaps/>
          <w:color w:val="000000"/>
          <w:sz w:val="32"/>
          <w:szCs w:val="32"/>
        </w:rPr>
      </w:pPr>
    </w:p>
    <w:p>
      <w:pPr>
        <w:pStyle w:val="3"/>
        <w:widowControl w:val="0"/>
        <w:spacing w:line="360" w:lineRule="auto"/>
        <w:jc w:val="center"/>
        <w:rPr>
          <w:b/>
          <w:smallCaps/>
          <w:color w:val="000000"/>
          <w:sz w:val="32"/>
          <w:szCs w:val="32"/>
        </w:rPr>
      </w:pPr>
      <w:r>
        <w:rPr>
          <w:b/>
          <w:smallCaps/>
          <w:color w:val="000000"/>
          <w:sz w:val="32"/>
          <w:szCs w:val="32"/>
        </w:rPr>
        <w:t>RÈGLEMENT PARTICULIER DE L’APPEL D’OFFRES</w:t>
      </w:r>
    </w:p>
    <w:p>
      <w:pPr>
        <w:pStyle w:val="3"/>
        <w:widowControl w:val="0"/>
        <w:spacing w:line="360" w:lineRule="auto"/>
        <w:jc w:val="both"/>
        <w:rPr>
          <w:i/>
          <w:sz w:val="20"/>
          <w:szCs w:val="20"/>
        </w:rPr>
      </w:pPr>
    </w:p>
    <w:tbl>
      <w:tblPr>
        <w:tblStyle w:val="27"/>
        <w:tblW w:w="100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8795"/>
      </w:tblGrid>
      <w:tr>
        <w:trPr>
          <w:cantSplit/>
          <w:trHeight w:val="681" w:hRule="atLeast"/>
          <w:tblHeader/>
          <w:jc w:val="center"/>
        </w:trPr>
        <w:tc>
          <w:tcPr>
            <w:tcW w:w="1271" w:type="dxa"/>
            <w:shd w:val="clear" w:color="auto" w:fill="auto"/>
            <w:tcMar>
              <w:top w:w="0" w:type="dxa"/>
              <w:left w:w="0" w:type="dxa"/>
              <w:bottom w:w="0" w:type="dxa"/>
              <w:right w:w="0" w:type="dxa"/>
            </w:tcMar>
            <w:vAlign w:val="center"/>
          </w:tcPr>
          <w:p>
            <w:pPr>
              <w:pStyle w:val="3"/>
              <w:widowControl w:val="0"/>
              <w:jc w:val="center"/>
              <w:rPr>
                <w:b/>
                <w:sz w:val="20"/>
                <w:szCs w:val="20"/>
              </w:rPr>
            </w:pPr>
            <w:r>
              <w:rPr>
                <w:b/>
              </w:rPr>
              <w:t>Références du RGAO</w:t>
            </w:r>
          </w:p>
        </w:tc>
        <w:tc>
          <w:tcPr>
            <w:tcW w:w="8795" w:type="dxa"/>
            <w:shd w:val="clear" w:color="auto" w:fill="auto"/>
            <w:tcMar>
              <w:top w:w="0" w:type="dxa"/>
              <w:left w:w="0" w:type="dxa"/>
              <w:bottom w:w="0" w:type="dxa"/>
              <w:right w:w="0" w:type="dxa"/>
            </w:tcMar>
            <w:vAlign w:val="center"/>
          </w:tcPr>
          <w:p>
            <w:pPr>
              <w:pStyle w:val="3"/>
              <w:widowControl w:val="0"/>
              <w:jc w:val="center"/>
              <w:rPr>
                <w:b/>
                <w:sz w:val="20"/>
                <w:szCs w:val="20"/>
              </w:rPr>
            </w:pPr>
            <w:r>
              <w:rPr>
                <w:b/>
              </w:rPr>
              <w:t>Description de la Disposition du RPAO</w:t>
            </w:r>
          </w:p>
        </w:tc>
      </w:tr>
      <w:tr>
        <w:trPr>
          <w:cantSplit/>
          <w:trHeight w:val="392" w:hRule="atLeast"/>
          <w:tblHeader/>
          <w:jc w:val="center"/>
        </w:trPr>
        <w:tc>
          <w:tcPr>
            <w:tcW w:w="10066" w:type="dxa"/>
            <w:gridSpan w:val="2"/>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r>
              <w:rPr>
                <w:b/>
              </w:rPr>
              <w:t>A.  GENERALITES</w:t>
            </w:r>
          </w:p>
        </w:tc>
      </w:tr>
      <w:tr>
        <w:trPr>
          <w:cantSplit/>
          <w:trHeight w:val="8692"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1.1</w:t>
            </w:r>
          </w:p>
        </w:tc>
        <w:tc>
          <w:tcPr>
            <w:tcW w:w="8795" w:type="dxa"/>
            <w:shd w:val="clear" w:color="auto" w:fill="auto"/>
            <w:tcMar>
              <w:top w:w="0" w:type="dxa"/>
              <w:left w:w="0" w:type="dxa"/>
              <w:bottom w:w="0" w:type="dxa"/>
              <w:right w:w="0" w:type="dxa"/>
            </w:tcMar>
            <w:vAlign w:val="center"/>
          </w:tcPr>
          <w:p>
            <w:pPr>
              <w:pStyle w:val="3"/>
              <w:spacing w:line="360" w:lineRule="auto"/>
              <w:ind w:left="413"/>
              <w:jc w:val="both"/>
              <w:rPr>
                <w:color w:val="000000"/>
                <w:sz w:val="22"/>
                <w:szCs w:val="22"/>
              </w:rPr>
            </w:pPr>
            <w:r>
              <w:rPr>
                <w:b/>
                <w:color w:val="000000"/>
                <w:sz w:val="22"/>
                <w:szCs w:val="22"/>
                <w:u w:val="single"/>
              </w:rPr>
              <w:t>Maître d’Ouvrage</w:t>
            </w:r>
            <w:r>
              <w:rPr>
                <w:b/>
                <w:color w:val="000000"/>
                <w:sz w:val="22"/>
                <w:szCs w:val="22"/>
              </w:rPr>
              <w:t> </w:t>
            </w:r>
            <w:r>
              <w:rPr>
                <w:color w:val="000000"/>
                <w:sz w:val="22"/>
                <w:szCs w:val="22"/>
              </w:rPr>
              <w:t>: Le Maire de la Commune de BIWONG BULU</w:t>
            </w:r>
          </w:p>
          <w:p>
            <w:pPr>
              <w:pStyle w:val="3"/>
              <w:spacing w:line="360" w:lineRule="auto"/>
              <w:ind w:left="413"/>
              <w:jc w:val="both"/>
              <w:rPr>
                <w:rFonts w:ascii="Calibri" w:hAnsi="Calibri" w:eastAsia="Calibri" w:cs="Calibri"/>
                <w:color w:val="000000"/>
                <w:sz w:val="22"/>
                <w:szCs w:val="22"/>
              </w:rPr>
            </w:pPr>
            <w:r>
              <w:rPr>
                <w:b/>
                <w:color w:val="000000"/>
                <w:sz w:val="22"/>
                <w:szCs w:val="22"/>
                <w:u w:val="single"/>
              </w:rPr>
              <w:t>Autorité Contractante</w:t>
            </w:r>
            <w:r>
              <w:rPr>
                <w:color w:val="000000"/>
                <w:sz w:val="22"/>
                <w:szCs w:val="22"/>
              </w:rPr>
              <w:t> : Le Maire</w:t>
            </w:r>
            <w:r>
              <w:rPr>
                <w:rFonts w:ascii="Calibri" w:hAnsi="Calibri" w:eastAsia="Calibri" w:cs="Calibri"/>
                <w:color w:val="000000"/>
                <w:sz w:val="22"/>
                <w:szCs w:val="22"/>
              </w:rPr>
              <w:t xml:space="preserve"> de la Commune de BIWONG BULU</w:t>
            </w:r>
          </w:p>
          <w:p>
            <w:pPr>
              <w:pStyle w:val="3"/>
              <w:widowControl w:val="0"/>
              <w:spacing w:before="61" w:line="360" w:lineRule="auto"/>
              <w:ind w:left="285" w:right="-20"/>
              <w:jc w:val="both"/>
              <w:rPr>
                <w:b/>
                <w:sz w:val="20"/>
                <w:szCs w:val="20"/>
              </w:rPr>
            </w:pPr>
            <w:r>
              <w:rPr>
                <w:b/>
                <w:u w:val="single"/>
              </w:rPr>
              <w:t>Références de l’Appel d’Offres</w:t>
            </w:r>
            <w:r>
              <w:t xml:space="preserve"> : </w:t>
            </w:r>
            <w:r>
              <w:rPr>
                <w:b/>
                <w:sz w:val="20"/>
                <w:szCs w:val="20"/>
              </w:rPr>
              <w:t xml:space="preserve">DOSSIER D’APPEL D’OFFRES NATIONAL OUVERT EN PROCEDURE D’URGENCE N° 010(bis) /AONO/PU/C-BBU/SG/SIGAMP/CIPM/2025 DU.         </w:t>
            </w:r>
            <w:r>
              <w:rPr>
                <w:b/>
                <w:sz w:val="20"/>
                <w:szCs w:val="20"/>
                <w:lang w:val="fr-FR"/>
              </w:rPr>
              <w:t>09/05/2025</w:t>
            </w:r>
            <w:r>
              <w:rPr>
                <w:b/>
                <w:sz w:val="20"/>
                <w:szCs w:val="20"/>
              </w:rPr>
              <w:t xml:space="preserve">  RELATIF AUX TRAVAUX D’ACHEVEMENT DU CSI D’EMINEMVOM I1 DANS LA COMMUNE DE BIWONG BULU, DEPARTEMENT DE LA MVILA, REGION DU SUD</w:t>
            </w:r>
          </w:p>
          <w:p>
            <w:pPr>
              <w:pStyle w:val="3"/>
              <w:widowControl w:val="0"/>
              <w:spacing w:line="360" w:lineRule="auto"/>
              <w:jc w:val="both"/>
              <w:rPr>
                <w:b/>
                <w:sz w:val="20"/>
                <w:szCs w:val="20"/>
              </w:rPr>
            </w:pPr>
            <w:r>
              <w:t xml:space="preserve"> </w:t>
            </w:r>
            <w:r>
              <w:rPr>
                <w:b/>
              </w:rPr>
              <w:t>Définition des Travaux :</w:t>
            </w:r>
          </w:p>
          <w:p>
            <w:pPr>
              <w:pStyle w:val="3"/>
              <w:widowControl w:val="0"/>
              <w:spacing w:line="360" w:lineRule="auto"/>
              <w:ind w:left="352" w:right="-20"/>
              <w:rPr>
                <w:b/>
                <w:i/>
                <w:smallCaps/>
              </w:rPr>
            </w:pPr>
            <w:r>
              <w:t>Les travaux consistent à :</w:t>
            </w:r>
          </w:p>
          <w:p>
            <w:pPr>
              <w:pStyle w:val="3"/>
              <w:numPr>
                <w:ilvl w:val="0"/>
                <w:numId w:val="3"/>
              </w:numPr>
              <w:spacing w:line="360" w:lineRule="auto"/>
              <w:rPr>
                <w:sz w:val="20"/>
                <w:szCs w:val="20"/>
              </w:rPr>
            </w:pPr>
            <w:r>
              <w:t>TRAVAUX PRELIMINAIRES-TERRASSEMENT ;</w:t>
            </w:r>
          </w:p>
          <w:p>
            <w:pPr>
              <w:pStyle w:val="3"/>
              <w:numPr>
                <w:ilvl w:val="0"/>
                <w:numId w:val="3"/>
              </w:numPr>
              <w:spacing w:line="360" w:lineRule="auto"/>
              <w:rPr>
                <w:sz w:val="20"/>
                <w:szCs w:val="20"/>
              </w:rPr>
            </w:pPr>
            <w:r>
              <w:t>FONDATIONS ;</w:t>
            </w:r>
          </w:p>
          <w:p>
            <w:pPr>
              <w:pStyle w:val="3"/>
              <w:numPr>
                <w:ilvl w:val="0"/>
                <w:numId w:val="3"/>
              </w:numPr>
              <w:spacing w:line="360" w:lineRule="auto"/>
              <w:rPr>
                <w:sz w:val="20"/>
                <w:szCs w:val="20"/>
              </w:rPr>
            </w:pPr>
            <w:r>
              <w:t>MACONNERIE ;</w:t>
            </w:r>
          </w:p>
          <w:p>
            <w:pPr>
              <w:pStyle w:val="3"/>
              <w:numPr>
                <w:ilvl w:val="0"/>
                <w:numId w:val="3"/>
              </w:numPr>
              <w:spacing w:line="360" w:lineRule="auto"/>
              <w:rPr>
                <w:sz w:val="20"/>
                <w:szCs w:val="20"/>
              </w:rPr>
            </w:pPr>
            <w:r>
              <w:t>REVETEMENT DES SCELLES</w:t>
            </w:r>
          </w:p>
          <w:p>
            <w:pPr>
              <w:pStyle w:val="3"/>
              <w:numPr>
                <w:ilvl w:val="0"/>
                <w:numId w:val="3"/>
              </w:numPr>
              <w:spacing w:line="360" w:lineRule="auto"/>
              <w:rPr>
                <w:sz w:val="20"/>
                <w:szCs w:val="20"/>
              </w:rPr>
            </w:pPr>
            <w:r>
              <w:t>CHARPENTE ET COUVERTURE ;</w:t>
            </w:r>
          </w:p>
          <w:p>
            <w:pPr>
              <w:pStyle w:val="3"/>
              <w:numPr>
                <w:ilvl w:val="0"/>
                <w:numId w:val="3"/>
              </w:numPr>
              <w:spacing w:line="360" w:lineRule="auto"/>
              <w:rPr>
                <w:sz w:val="20"/>
                <w:szCs w:val="20"/>
              </w:rPr>
            </w:pPr>
            <w:r>
              <w:t>MENUISERIE  BOIS ;</w:t>
            </w:r>
          </w:p>
          <w:p>
            <w:pPr>
              <w:pStyle w:val="3"/>
              <w:numPr>
                <w:ilvl w:val="0"/>
                <w:numId w:val="3"/>
              </w:numPr>
              <w:spacing w:line="360" w:lineRule="auto"/>
              <w:rPr>
                <w:sz w:val="20"/>
                <w:szCs w:val="20"/>
              </w:rPr>
            </w:pPr>
            <w:r>
              <w:t>ELECTRICITE ;</w:t>
            </w:r>
          </w:p>
          <w:p>
            <w:pPr>
              <w:pStyle w:val="3"/>
              <w:numPr>
                <w:ilvl w:val="0"/>
                <w:numId w:val="3"/>
              </w:numPr>
              <w:spacing w:line="360" w:lineRule="auto"/>
              <w:rPr>
                <w:sz w:val="20"/>
                <w:szCs w:val="20"/>
              </w:rPr>
            </w:pPr>
            <w:r>
              <w:t>PLONBERIE SANITAIRE</w:t>
            </w:r>
          </w:p>
          <w:p>
            <w:pPr>
              <w:pStyle w:val="3"/>
              <w:spacing w:line="360" w:lineRule="auto"/>
              <w:jc w:val="both"/>
              <w:rPr>
                <w:b/>
                <w:i/>
                <w:smallCaps/>
              </w:rPr>
            </w:pPr>
            <w:r>
              <w:rPr>
                <w:b/>
                <w:u w:val="single"/>
              </w:rPr>
              <w:t>NB</w:t>
            </w:r>
            <w:r>
              <w:t> : Les informations sur les travaux à exécuter sont détaillées dans le Bordereau des Prix Unitaires, le Détail Quantitatif et Estimatif et le Cahier des Clauses Techniques Particulières.</w:t>
            </w:r>
          </w:p>
        </w:tc>
      </w:tr>
      <w:tr>
        <w:trPr>
          <w:cantSplit/>
          <w:trHeight w:val="1734"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 xml:space="preserve"> 1.2.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Le délai prévisionnel d’exécution des travaux est de : 90 jours calendaires</w:t>
            </w:r>
            <w:r>
              <w:rPr>
                <w:color w:val="000000"/>
              </w:rPr>
              <w:t>, à compter de la date de notification de l’Ordre de Service de commencer les travaux.</w:t>
            </w:r>
          </w:p>
        </w:tc>
      </w:tr>
      <w:tr>
        <w:trPr>
          <w:cantSplit/>
          <w:trHeight w:val="1134"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1.4</w:t>
            </w:r>
          </w:p>
        </w:tc>
        <w:tc>
          <w:tcPr>
            <w:tcW w:w="8795"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TRAVAUX D’ACHEVEMENT DU CSI D’EMINEMVOM 1I DANS LA COMMUNE DE BIWONG BULU, DEPARTEMENT DE LA MVILA, REGION DU SUD</w:t>
            </w:r>
          </w:p>
        </w:tc>
      </w:tr>
      <w:tr>
        <w:trPr>
          <w:cantSplit/>
          <w:trHeight w:val="1278"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 xml:space="preserve"> financement : BIP</w:t>
            </w:r>
          </w:p>
          <w:p>
            <w:pPr>
              <w:pStyle w:val="3"/>
              <w:widowControl w:val="0"/>
              <w:spacing w:line="360" w:lineRule="auto"/>
              <w:jc w:val="both"/>
              <w:rPr>
                <w:b/>
                <w:i/>
                <w:smallCaps/>
              </w:rPr>
            </w:pPr>
            <w:r>
              <w:t>Les travaux objet du présent Appel d’Offres sont financés par :</w:t>
            </w:r>
          </w:p>
          <w:p>
            <w:pPr>
              <w:pStyle w:val="3"/>
              <w:widowControl w:val="0"/>
              <w:spacing w:line="360" w:lineRule="auto"/>
              <w:jc w:val="both"/>
              <w:rPr>
                <w:b/>
                <w:i/>
                <w:smallCaps/>
              </w:rPr>
            </w:pPr>
            <w:r>
              <w:t xml:space="preserve">Budget : MINDDEVEL Exercice 2025 </w:t>
            </w:r>
          </w:p>
          <w:p>
            <w:pPr>
              <w:pStyle w:val="3"/>
              <w:widowControl w:val="0"/>
              <w:spacing w:line="360" w:lineRule="auto"/>
              <w:jc w:val="both"/>
              <w:rPr>
                <w:b/>
                <w:i/>
                <w:smallCaps/>
              </w:rPr>
            </w:pP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4.2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DOSSIER D’APPEL D’OFFRES NATIONAL OUVERT EN PROCEDURE</w:t>
            </w:r>
          </w:p>
        </w:tc>
      </w:tr>
      <w:tr>
        <w:trPr>
          <w:cantSplit/>
          <w:trHeight w:val="1308"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5.1</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Provenance des matériaux, matériels et fournitures d’équipement et services.</w:t>
            </w:r>
          </w:p>
          <w:p>
            <w:pPr>
              <w:pStyle w:val="3"/>
              <w:widowControl w:val="0"/>
              <w:spacing w:line="360" w:lineRule="auto"/>
              <w:jc w:val="both"/>
              <w:rPr>
                <w:b/>
                <w:i/>
                <w:smallCaps/>
              </w:rPr>
            </w:pPr>
            <w:r>
              <w:rPr>
                <w:i/>
              </w:rPr>
              <w:t>Les matériaux, matériels et fournitures d’équipement et services doivent provenir du marché intérieur ou du marché international</w:t>
            </w:r>
          </w:p>
        </w:tc>
      </w:tr>
      <w:tr>
        <w:trPr>
          <w:cantSplit/>
          <w:trHeight w:val="1193"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6.2</w:t>
            </w:r>
          </w:p>
        </w:tc>
        <w:tc>
          <w:tcPr>
            <w:tcW w:w="8795" w:type="dxa"/>
            <w:shd w:val="clear" w:color="auto" w:fill="auto"/>
            <w:tcMar>
              <w:top w:w="0" w:type="dxa"/>
              <w:left w:w="0" w:type="dxa"/>
              <w:bottom w:w="0" w:type="dxa"/>
              <w:right w:w="0" w:type="dxa"/>
            </w:tcMar>
            <w:vAlign w:val="center"/>
          </w:tcPr>
          <w:p>
            <w:pPr>
              <w:pStyle w:val="3"/>
              <w:widowControl w:val="0"/>
              <w:spacing w:line="360" w:lineRule="auto"/>
              <w:ind w:right="142"/>
              <w:jc w:val="both"/>
              <w:rPr>
                <w:b/>
                <w:i/>
                <w:smallCaps/>
              </w:rPr>
            </w:pPr>
            <w:r>
              <w:t>En cas de groupement d’entreprises, chaque membre du groupement doit présenter un dossier administratif complet, les pièces "</w:t>
            </w:r>
            <w:r>
              <w:rPr>
                <w:i/>
              </w:rPr>
              <w:t xml:space="preserve"> L’attestation de domiciliation bancaire (sauf cas de cotraitance conjointe)</w:t>
            </w:r>
            <w:r>
              <w:t xml:space="preserve">, </w:t>
            </w:r>
            <w:r>
              <w:rPr>
                <w:i/>
              </w:rPr>
              <w:t>La quittance d’achat</w:t>
            </w:r>
            <w:r>
              <w:t xml:space="preserve"> du DAO et l</w:t>
            </w:r>
            <w:r>
              <w:rPr>
                <w:i/>
              </w:rPr>
              <w:t>e cautionnement de soumission</w:t>
            </w:r>
            <w:r>
              <w:t>"   prévues au point 13.1 du RPAO étant uniquement présentés par le mandataire du groupement.</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6.4</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 xml:space="preserve">Renseignements nécessaires à produire pour justifier la satisfaction aux critères d’éligibilité à la préférence nationale : </w:t>
            </w:r>
          </w:p>
        </w:tc>
      </w:tr>
      <w:tr>
        <w:trPr>
          <w:cantSplit/>
          <w:trHeight w:val="2725"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7.3.</w:t>
            </w:r>
          </w:p>
        </w:tc>
        <w:tc>
          <w:tcPr>
            <w:tcW w:w="8795" w:type="dxa"/>
            <w:shd w:val="clear" w:color="auto" w:fill="auto"/>
            <w:tcMar>
              <w:top w:w="0" w:type="dxa"/>
              <w:left w:w="0" w:type="dxa"/>
              <w:bottom w:w="0" w:type="dxa"/>
              <w:right w:w="0" w:type="dxa"/>
            </w:tcMar>
            <w:vAlign w:val="center"/>
          </w:tcPr>
          <w:p>
            <w:pPr>
              <w:pStyle w:val="3"/>
              <w:widowControl w:val="0"/>
              <w:tabs>
                <w:tab w:val="left" w:pos="1320"/>
              </w:tabs>
              <w:spacing w:line="360" w:lineRule="auto"/>
              <w:jc w:val="both"/>
              <w:rPr>
                <w:sz w:val="20"/>
                <w:szCs w:val="20"/>
              </w:rPr>
            </w:pPr>
            <w:r>
              <w:t xml:space="preserve">Aux fins de la visite du site des travaux à organiser au plus et après la publication de l’Avis d’Appel d’Offres, le service du Maître d’Ouvrage  à contacter est le suivant : </w:t>
            </w:r>
          </w:p>
          <w:p>
            <w:pPr>
              <w:pStyle w:val="3"/>
              <w:widowControl w:val="0"/>
              <w:numPr>
                <w:ilvl w:val="0"/>
                <w:numId w:val="21"/>
              </w:numPr>
              <w:tabs>
                <w:tab w:val="left" w:pos="1320"/>
              </w:tabs>
              <w:spacing w:line="360" w:lineRule="auto"/>
              <w:ind w:left="1003" w:hanging="357"/>
              <w:jc w:val="both"/>
              <w:rPr>
                <w:color w:val="000000"/>
              </w:rPr>
            </w:pPr>
            <w:r>
              <w:rPr>
                <w:color w:val="000000"/>
              </w:rPr>
              <w:t xml:space="preserve">BP : </w:t>
            </w:r>
            <w:r>
              <w:rPr>
                <w:i/>
                <w:color w:val="000000"/>
              </w:rPr>
              <w:t>567 EBOLOWA</w:t>
            </w:r>
          </w:p>
          <w:p>
            <w:pPr>
              <w:pStyle w:val="3"/>
              <w:widowControl w:val="0"/>
              <w:numPr>
                <w:ilvl w:val="0"/>
                <w:numId w:val="21"/>
              </w:numPr>
              <w:tabs>
                <w:tab w:val="left" w:pos="1320"/>
              </w:tabs>
              <w:spacing w:line="360" w:lineRule="auto"/>
              <w:ind w:left="1003" w:hanging="357"/>
              <w:jc w:val="both"/>
              <w:rPr>
                <w:color w:val="000000"/>
              </w:rPr>
            </w:pPr>
            <w:r>
              <w:rPr>
                <w:color w:val="000000"/>
              </w:rPr>
              <w:t xml:space="preserve">Tél : </w:t>
            </w:r>
            <w:r>
              <w:rPr>
                <w:i/>
                <w:color w:val="000000"/>
              </w:rPr>
              <w:t>683689096 – 699 60 11 38</w:t>
            </w:r>
          </w:p>
          <w:p>
            <w:pPr>
              <w:pStyle w:val="3"/>
              <w:widowControl w:val="0"/>
              <w:tabs>
                <w:tab w:val="left" w:pos="1320"/>
              </w:tabs>
              <w:spacing w:line="360" w:lineRule="auto"/>
              <w:jc w:val="both"/>
              <w:rPr>
                <w:sz w:val="20"/>
                <w:szCs w:val="20"/>
              </w:rPr>
            </w:pPr>
            <w:r>
              <w:t xml:space="preserve"> 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p>
          <w:p>
            <w:pPr>
              <w:pStyle w:val="3"/>
              <w:widowControl w:val="0"/>
              <w:spacing w:line="360" w:lineRule="auto"/>
              <w:jc w:val="center"/>
              <w:rPr>
                <w:b/>
                <w:i/>
                <w:smallCaps/>
              </w:rPr>
            </w:pPr>
            <w:r>
              <w:t>9</w:t>
            </w:r>
          </w:p>
        </w:tc>
        <w:tc>
          <w:tcPr>
            <w:tcW w:w="8795" w:type="dxa"/>
            <w:shd w:val="clear" w:color="auto" w:fill="auto"/>
            <w:tcMar>
              <w:top w:w="0" w:type="dxa"/>
              <w:left w:w="0" w:type="dxa"/>
              <w:bottom w:w="0" w:type="dxa"/>
              <w:right w:w="0" w:type="dxa"/>
            </w:tcMar>
            <w:vAlign w:val="center"/>
          </w:tcPr>
          <w:p>
            <w:pPr>
              <w:pStyle w:val="3"/>
              <w:widowControl w:val="0"/>
              <w:tabs>
                <w:tab w:val="left" w:pos="1320"/>
              </w:tabs>
              <w:spacing w:line="360" w:lineRule="auto"/>
              <w:jc w:val="both"/>
              <w:rPr>
                <w:color w:val="000000"/>
              </w:rPr>
            </w:pPr>
            <w:r>
              <w:t>Les renseignements complémentaires peuvent être obtenus aux heures ouvrables à la commune de BIWONG-BULU (secrétariat général)</w:t>
            </w:r>
            <w:r>
              <w:rPr>
                <w:i/>
              </w:rPr>
              <w:t xml:space="preserve"> (SIGAM) BP, 683689096 -</w:t>
            </w:r>
            <w:r>
              <w:rPr>
                <w:i/>
                <w:color w:val="000000"/>
              </w:rPr>
              <w:t>699 60 11 38</w:t>
            </w:r>
          </w:p>
        </w:tc>
      </w:tr>
      <w:tr>
        <w:trPr>
          <w:cantSplit/>
          <w:trHeight w:val="466" w:hRule="atLeast"/>
          <w:tblHeader/>
          <w:jc w:val="center"/>
        </w:trPr>
        <w:tc>
          <w:tcPr>
            <w:tcW w:w="10066" w:type="dxa"/>
            <w:gridSpan w:val="2"/>
            <w:shd w:val="clear" w:color="auto" w:fill="auto"/>
            <w:tcMar>
              <w:top w:w="0" w:type="dxa"/>
              <w:left w:w="0" w:type="dxa"/>
              <w:bottom w:w="0" w:type="dxa"/>
              <w:right w:w="0" w:type="dxa"/>
            </w:tcMar>
            <w:vAlign w:val="center"/>
          </w:tcPr>
          <w:p>
            <w:pPr>
              <w:pStyle w:val="3"/>
              <w:widowControl w:val="0"/>
              <w:jc w:val="center"/>
              <w:rPr>
                <w:b/>
                <w:sz w:val="20"/>
                <w:szCs w:val="20"/>
              </w:rPr>
            </w:pPr>
            <w:r>
              <w:rPr>
                <w:b/>
              </w:rPr>
              <w:t>C- PREPARATION DES OFFRES</w:t>
            </w:r>
          </w:p>
        </w:tc>
      </w:tr>
      <w:tr>
        <w:trPr>
          <w:cantSplit/>
          <w:trHeight w:val="409"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12.</w:t>
            </w:r>
          </w:p>
        </w:tc>
        <w:tc>
          <w:tcPr>
            <w:tcW w:w="8795" w:type="dxa"/>
            <w:shd w:val="clear" w:color="auto" w:fill="auto"/>
            <w:tcMar>
              <w:top w:w="0" w:type="dxa"/>
              <w:left w:w="0" w:type="dxa"/>
              <w:bottom w:w="0" w:type="dxa"/>
              <w:right w:w="0" w:type="dxa"/>
            </w:tcMar>
            <w:vAlign w:val="center"/>
          </w:tcPr>
          <w:p>
            <w:pPr>
              <w:pStyle w:val="3"/>
              <w:tabs>
                <w:tab w:val="right" w:pos="7254"/>
              </w:tabs>
              <w:jc w:val="both"/>
              <w:rPr>
                <w:color w:val="000000"/>
              </w:rPr>
            </w:pPr>
            <w:r>
              <w:rPr>
                <w:color w:val="000000"/>
              </w:rPr>
              <w:t>La langue de soumission est « </w:t>
            </w:r>
            <w:r>
              <w:rPr>
                <w:i/>
                <w:color w:val="000000"/>
              </w:rPr>
              <w:t xml:space="preserve">l’Anglais ou le Français » </w:t>
            </w:r>
          </w:p>
        </w:tc>
      </w:tr>
      <w:tr>
        <w:trPr>
          <w:cantSplit/>
          <w:trHeight w:val="4266"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,13.1</w:t>
            </w:r>
          </w:p>
        </w:tc>
        <w:tc>
          <w:tcPr>
            <w:tcW w:w="8795" w:type="dxa"/>
            <w:shd w:val="clear" w:color="auto" w:fill="auto"/>
            <w:tcMar>
              <w:top w:w="0" w:type="dxa"/>
              <w:left w:w="0" w:type="dxa"/>
              <w:bottom w:w="0" w:type="dxa"/>
              <w:right w:w="0" w:type="dxa"/>
            </w:tcMar>
            <w:vAlign w:val="center"/>
          </w:tcPr>
          <w:p>
            <w:pPr>
              <w:pStyle w:val="3"/>
              <w:widowControl w:val="0"/>
              <w:tabs>
                <w:tab w:val="left" w:pos="1320"/>
              </w:tabs>
              <w:jc w:val="both"/>
              <w:rPr>
                <w:b/>
                <w:i/>
                <w:smallCaps/>
              </w:rPr>
            </w:pPr>
            <w:r>
              <w:t>Le soumissionnaire devra produire une offre regroupée en trois volumes et présentée comme suit :</w:t>
            </w:r>
          </w:p>
          <w:p>
            <w:pPr>
              <w:pStyle w:val="3"/>
              <w:widowControl w:val="0"/>
              <w:jc w:val="both"/>
              <w:rPr>
                <w:b/>
                <w:sz w:val="20"/>
                <w:szCs w:val="20"/>
              </w:rPr>
            </w:pPr>
            <w:r>
              <w:rPr>
                <w:b/>
                <w:i/>
              </w:rPr>
              <w:t>A–Volume I : Pièces administratives</w:t>
            </w:r>
          </w:p>
          <w:p>
            <w:pPr>
              <w:pStyle w:val="3"/>
              <w:widowControl w:val="0"/>
              <w:jc w:val="both"/>
              <w:rPr>
                <w:b/>
                <w:i/>
                <w:smallCaps/>
              </w:rPr>
            </w:pPr>
            <w:r>
              <w:rPr>
                <w:b/>
              </w:rPr>
              <w:t>Pour les soumissionnaires installés au Cameroun</w:t>
            </w:r>
            <w:r>
              <w:t>, elles comprendront notamment :</w:t>
            </w:r>
          </w:p>
          <w:p>
            <w:pPr>
              <w:pStyle w:val="3"/>
              <w:numPr>
                <w:ilvl w:val="0"/>
                <w:numId w:val="22"/>
              </w:numPr>
              <w:jc w:val="both"/>
              <w:rPr>
                <w:i/>
                <w:color w:val="000000"/>
              </w:rPr>
            </w:pPr>
            <w:r>
              <w:rPr>
                <w:i/>
                <w:color w:val="000000"/>
              </w:rPr>
              <w:t>La</w:t>
            </w:r>
            <w:r>
              <w:rPr>
                <w:i/>
                <w:color w:val="FF0000"/>
              </w:rPr>
              <w:t xml:space="preserve"> </w:t>
            </w:r>
            <w:r>
              <w:rPr>
                <w:i/>
                <w:color w:val="000000"/>
              </w:rPr>
              <w:t>déclaration d’intention de soumissionner timbrée, signée du représentant légal ou du mandataire dument désigné ;</w:t>
            </w:r>
          </w:p>
          <w:p>
            <w:pPr>
              <w:pStyle w:val="3"/>
              <w:widowControl w:val="0"/>
              <w:numPr>
                <w:ilvl w:val="0"/>
                <w:numId w:val="22"/>
              </w:numPr>
              <w:ind w:left="421" w:right="55"/>
              <w:jc w:val="both"/>
              <w:rPr>
                <w:i/>
                <w:sz w:val="20"/>
                <w:szCs w:val="20"/>
              </w:rPr>
            </w:pPr>
            <w:r>
              <w:rPr>
                <w:i/>
              </w:rPr>
              <w:t xml:space="preserve">La caution de soumission acquittée à la main (suivant modèle joint) et timbrée,  d’un montant de </w:t>
            </w:r>
            <w:r>
              <w:rPr>
                <w:b/>
                <w:i/>
              </w:rPr>
              <w:t>536 412(cinq cent trente-six mille quatre cent douze) francs CFA</w:t>
            </w:r>
            <w:r>
              <w:rPr>
                <w:i/>
              </w:rPr>
              <w:t xml:space="preserve"> et d’une durée de validité de 03 mois, timbrée, établi par une banque de premier ordre ou un organisme financier</w:t>
            </w:r>
            <w:r>
              <w:rPr>
                <w:i/>
                <w:sz w:val="28"/>
                <w:szCs w:val="28"/>
              </w:rPr>
              <w:t xml:space="preserve"> </w:t>
            </w:r>
            <w:r>
              <w:rPr>
                <w:i/>
              </w:rPr>
              <w:t>de première catégorie habilité par le Ministre en charge des Finances du Cameroun pour émettre des cautions dans le cadre des Marchés Publics ou toute autre forme prévue par la règlementation</w:t>
            </w:r>
            <w:r>
              <w:t xml:space="preserve"> </w:t>
            </w:r>
            <w:r>
              <w:rPr>
                <w:i/>
              </w:rPr>
              <w:t>en vigueur (Chèque certifié, chèque banque, hypothèque légale), assorti du récépissé de consignation délivré par la Caisse de dépots et de consignation . Le délai de validité du cautionnement de soumission doit excéder de trente (30) jours celui des offres.</w:t>
            </w:r>
          </w:p>
          <w:p>
            <w:pPr>
              <w:pStyle w:val="3"/>
              <w:widowControl w:val="0"/>
              <w:numPr>
                <w:ilvl w:val="0"/>
                <w:numId w:val="22"/>
              </w:numPr>
              <w:jc w:val="both"/>
              <w:rPr>
                <w:i/>
                <w:sz w:val="20"/>
                <w:szCs w:val="20"/>
              </w:rPr>
            </w:pPr>
            <w:r>
              <w:rPr>
                <w:i/>
              </w:rPr>
              <w:t>L’Accord de groupement -----------------------(préciser la forme du groupement notarié ou sous seing privé) et spécifiant le mandataire le cas échéant (le Maître d’Ouvrage devra privilégier les groupements solidaires) ;</w:t>
            </w:r>
          </w:p>
          <w:p>
            <w:pPr>
              <w:pStyle w:val="3"/>
              <w:widowControl w:val="0"/>
              <w:numPr>
                <w:ilvl w:val="0"/>
                <w:numId w:val="22"/>
              </w:numPr>
              <w:jc w:val="both"/>
              <w:rPr>
                <w:b/>
                <w:i/>
                <w:smallCaps/>
              </w:rPr>
            </w:pPr>
            <w:r>
              <w:rPr>
                <w:i/>
              </w:rPr>
              <w:t>Le Pouvoir de signature, le cas échéant ;</w:t>
            </w:r>
          </w:p>
          <w:p>
            <w:pPr>
              <w:pStyle w:val="3"/>
              <w:widowControl w:val="0"/>
              <w:numPr>
                <w:ilvl w:val="0"/>
                <w:numId w:val="22"/>
              </w:numPr>
              <w:jc w:val="both"/>
              <w:rPr>
                <w:i/>
                <w:sz w:val="20"/>
                <w:szCs w:val="20"/>
              </w:rPr>
            </w:pPr>
            <w:r>
              <w:rPr>
                <w:i/>
              </w:rPr>
              <w:t xml:space="preserve">Le Certificat de Conformité Fiscale délivrée par l’Administration Fiscale ; </w:t>
            </w:r>
          </w:p>
          <w:p>
            <w:pPr>
              <w:pStyle w:val="3"/>
              <w:widowControl w:val="0"/>
              <w:numPr>
                <w:ilvl w:val="0"/>
                <w:numId w:val="22"/>
              </w:numPr>
              <w:jc w:val="both"/>
              <w:rPr>
                <w:i/>
                <w:sz w:val="20"/>
                <w:szCs w:val="20"/>
              </w:rPr>
            </w:pPr>
            <w:r>
              <w:rPr>
                <w:i/>
              </w:rPr>
              <w:t>Une Attestation de non-faillite établie par le Tribunal de Première Instance ou tout autre document établi par l’institution compétente du pays de résidence du soumissionnaire étranger ;</w:t>
            </w:r>
          </w:p>
          <w:p>
            <w:pPr>
              <w:pStyle w:val="3"/>
              <w:widowControl w:val="0"/>
              <w:numPr>
                <w:ilvl w:val="0"/>
                <w:numId w:val="22"/>
              </w:numPr>
              <w:jc w:val="both"/>
              <w:rPr>
                <w:i/>
                <w:sz w:val="20"/>
                <w:szCs w:val="20"/>
              </w:rPr>
            </w:pPr>
            <w:r>
              <w:rPr>
                <w:i/>
              </w:rPr>
              <w:t>L’attestation de domiciliation bancaire du soumissionnaire, délivrée par un établissement bancaire ou organisme habilité par le Ministre en charge des Finances du Cameroun, sauf dispositions contraires prévues par la convention de financement ; </w:t>
            </w:r>
          </w:p>
          <w:p>
            <w:pPr>
              <w:pStyle w:val="3"/>
              <w:numPr>
                <w:ilvl w:val="0"/>
                <w:numId w:val="22"/>
              </w:numPr>
              <w:jc w:val="both"/>
              <w:rPr>
                <w:i/>
                <w:color w:val="000000"/>
              </w:rPr>
            </w:pPr>
            <w:r>
              <w:rPr>
                <w:i/>
                <w:color w:val="000000"/>
              </w:rPr>
              <w:t xml:space="preserve">La quittance d’achat du Dossier d’Appel d’Offres d’une somme non remboursable de </w:t>
            </w:r>
            <w:r>
              <w:rPr>
                <w:b/>
                <w:i/>
                <w:color w:val="000000"/>
              </w:rPr>
              <w:t>40 000 francs CFA (quarante mille) payable à la recette municipale de Biwong-Bulu</w:t>
            </w:r>
            <w:r>
              <w:rPr>
                <w:i/>
                <w:color w:val="000000"/>
              </w:rPr>
              <w:t xml:space="preserve">    </w:t>
            </w:r>
          </w:p>
          <w:p>
            <w:pPr>
              <w:pStyle w:val="3"/>
              <w:widowControl w:val="0"/>
              <w:numPr>
                <w:ilvl w:val="0"/>
                <w:numId w:val="22"/>
              </w:numPr>
              <w:jc w:val="both"/>
              <w:rPr>
                <w:i/>
                <w:sz w:val="20"/>
                <w:szCs w:val="20"/>
              </w:rPr>
            </w:pPr>
            <w:r>
              <w:rPr>
                <w:i/>
              </w:rPr>
              <w:t>Une Attestation de non-exclusion des Marchés Publics délivrée par l’organisme chargé de la régulation des marchés publics portant le numéro et l’objet de l’Appel d’Offres ;</w:t>
            </w:r>
          </w:p>
          <w:p>
            <w:pPr>
              <w:pStyle w:val="3"/>
              <w:widowControl w:val="0"/>
              <w:numPr>
                <w:ilvl w:val="0"/>
                <w:numId w:val="22"/>
              </w:numPr>
              <w:jc w:val="both"/>
              <w:rPr>
                <w:i/>
                <w:sz w:val="20"/>
                <w:szCs w:val="20"/>
              </w:rPr>
            </w:pPr>
            <w:r>
              <w:rPr>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pPr>
              <w:pStyle w:val="3"/>
              <w:widowControl w:val="0"/>
              <w:numPr>
                <w:ilvl w:val="0"/>
                <w:numId w:val="22"/>
              </w:numPr>
              <w:jc w:val="both"/>
              <w:rPr>
                <w:i/>
                <w:sz w:val="20"/>
                <w:szCs w:val="20"/>
              </w:rPr>
            </w:pPr>
            <w:r>
              <w:rPr>
                <w:i/>
              </w:rPr>
              <w:t>L’attestation de catégorisation, le cas échéant ;</w:t>
            </w:r>
          </w:p>
          <w:p>
            <w:pPr>
              <w:pStyle w:val="3"/>
              <w:jc w:val="both"/>
              <w:rPr>
                <w:color w:val="000000"/>
              </w:rPr>
            </w:pPr>
            <w:r>
              <w:rPr>
                <w:b/>
                <w:color w:val="000000"/>
              </w:rPr>
              <w:t>NB : En cas de catégorisation, le Maître d’Ouvrage ou Maître d’Ouvrage Délégué définit les exigences complémentaires à demander aux entreprises catégorisées.</w:t>
            </w:r>
          </w:p>
          <w:p>
            <w:pPr>
              <w:pStyle w:val="3"/>
              <w:widowControl w:val="0"/>
              <w:ind w:left="360"/>
              <w:jc w:val="both"/>
              <w:rPr>
                <w:i/>
                <w:sz w:val="20"/>
                <w:szCs w:val="20"/>
              </w:rPr>
            </w:pPr>
            <w:r>
              <w:rPr>
                <w:i/>
              </w:rPr>
              <w:t xml:space="preserve">En cas de groupement chaque membre du groupement doit présenter un dossier </w:t>
            </w:r>
          </w:p>
          <w:p>
            <w:pPr>
              <w:pStyle w:val="3"/>
              <w:widowControl w:val="0"/>
              <w:ind w:left="360"/>
              <w:jc w:val="both"/>
              <w:rPr>
                <w:i/>
                <w:sz w:val="20"/>
                <w:szCs w:val="20"/>
              </w:rPr>
            </w:pPr>
            <w:r>
              <w:rPr>
                <w:i/>
              </w:rPr>
              <w:t xml:space="preserve">Administratif complet, les pièces </w:t>
            </w:r>
            <w:r>
              <w:rPr>
                <w:b/>
                <w:i/>
              </w:rPr>
              <w:t>a, b, g, h</w:t>
            </w:r>
            <w:r>
              <w:rPr>
                <w:i/>
              </w:rPr>
              <w:t xml:space="preserve"> étant uniquement présentées par le mandataire du groupement.</w:t>
            </w:r>
          </w:p>
          <w:p>
            <w:pPr>
              <w:pStyle w:val="3"/>
              <w:widowControl w:val="0"/>
              <w:jc w:val="both"/>
              <w:rPr>
                <w:sz w:val="20"/>
                <w:szCs w:val="20"/>
              </w:rPr>
            </w:pPr>
            <w:r>
              <w:rPr>
                <w:b/>
              </w:rPr>
              <w:t>Pour les soumissionnaires non installés au Cameroun </w:t>
            </w:r>
            <w:r>
              <w:t xml:space="preserve">: </w:t>
            </w:r>
          </w:p>
          <w:p>
            <w:pPr>
              <w:pStyle w:val="3"/>
              <w:widowControl w:val="0"/>
              <w:numPr>
                <w:ilvl w:val="0"/>
                <w:numId w:val="23"/>
              </w:numPr>
              <w:jc w:val="both"/>
              <w:rPr>
                <w:color w:val="000000"/>
              </w:rPr>
            </w:pPr>
            <w:r>
              <w:rPr>
                <w:color w:val="000000"/>
              </w:rPr>
              <w:t>Produire les documents attestant :</w:t>
            </w:r>
          </w:p>
          <w:p>
            <w:pPr>
              <w:pStyle w:val="3"/>
              <w:widowControl w:val="0"/>
              <w:numPr>
                <w:ilvl w:val="1"/>
                <w:numId w:val="24"/>
              </w:numPr>
              <w:tabs>
                <w:tab w:val="left" w:pos="2409"/>
                <w:tab w:val="left" w:pos="2410"/>
              </w:tabs>
              <w:ind w:left="993" w:hanging="283"/>
              <w:jc w:val="both"/>
              <w:rPr>
                <w:b/>
                <w:i/>
                <w:smallCaps/>
              </w:rPr>
            </w:pPr>
            <w:r>
              <w:t>qu’ils ne sont pas en état de liquidation judiciaire ou en faillite ;</w:t>
            </w:r>
            <w:r>
              <mc:AlternateContent>
                <mc:Choice Requires="wps">
                  <w:drawing>
                    <wp:anchor distT="0" distB="0" distL="114300" distR="114300" simplePos="0" relativeHeight="251656192" behindDoc="0" locked="0" layoutInCell="1" allowOverlap="1">
                      <wp:simplePos x="0" y="0"/>
                      <wp:positionH relativeFrom="column">
                        <wp:posOffset>-698500</wp:posOffset>
                      </wp:positionH>
                      <wp:positionV relativeFrom="paragraph">
                        <wp:posOffset>956310</wp:posOffset>
                      </wp:positionV>
                      <wp:extent cx="0" cy="0"/>
                      <wp:effectExtent l="11430" t="1612265" r="7620" b="1609090"/>
                      <wp:wrapNone/>
                      <wp:docPr id="4" name="Connecteur droit 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ln>
                            </wps:spPr>
                            <wps:bodyPr/>
                          </wps:wsp>
                        </a:graphicData>
                      </a:graphic>
                    </wp:anchor>
                  </w:drawing>
                </mc:Choice>
                <mc:Fallback>
                  <w:pict>
                    <v:line id="_x0000_s1026" o:spid="_x0000_s1026" o:spt="20" style="position:absolute;left:0pt;margin-left:-55pt;margin-top:75.3pt;height:0pt;width:0pt;z-index:251656192;mso-width-relative:page;mso-height-relative:page;" filled="f" stroked="t" coordsize="21600,21600" o:gfxdata="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lYU&#10;OtUAAAANAQAADwAAAAAAAAABACAAAAAiAAAAZHJzL2Rvd25yZXYueG1sUEsBAhQAFAAAAAgAh07i&#10;QHOg3AizAQAAWAMAAA4AAAAAAAAAAQAgAAAAJAEAAGRycy9lMm9Eb2MueG1sUEsFBgAAAAAGAAYA&#10;WQEAAEkFAAAAAAAA&#10;">
                      <v:fill on="f" focussize="0,0"/>
                      <v:stroke weight="0.952047244094488pt" color="#D8DBDB" joinstyle="round"/>
                      <v:imagedata o:title=""/>
                      <o:lock v:ext="edit" aspectratio="f"/>
                    </v:line>
                  </w:pict>
                </mc:Fallback>
              </mc:AlternateContent>
            </w:r>
          </w:p>
          <w:p>
            <w:pPr>
              <w:pStyle w:val="3"/>
              <w:widowControl w:val="0"/>
              <w:numPr>
                <w:ilvl w:val="1"/>
                <w:numId w:val="24"/>
              </w:numPr>
              <w:tabs>
                <w:tab w:val="left" w:pos="2416"/>
                <w:tab w:val="left" w:pos="2417"/>
              </w:tabs>
              <w:ind w:left="993" w:hanging="283"/>
              <w:jc w:val="both"/>
              <w:rPr>
                <w:color w:val="000000"/>
              </w:rPr>
            </w:pPr>
            <w:r>
              <w:rPr>
                <w:color w:val="000000"/>
              </w:rPr>
              <w:t>qu’ils ne sont pas frappés de l'une des interdictions ou déchéances prévues par les lois et règlements en vigueur, aussi bien au plan national qu'international ;</w:t>
            </w:r>
          </w:p>
          <w:p>
            <w:pPr>
              <w:pStyle w:val="3"/>
              <w:widowControl w:val="0"/>
              <w:numPr>
                <w:ilvl w:val="0"/>
                <w:numId w:val="24"/>
              </w:numPr>
              <w:ind w:left="993" w:hanging="283"/>
              <w:jc w:val="both"/>
              <w:rPr>
                <w:color w:val="000000"/>
              </w:rPr>
            </w:pPr>
            <w:r>
              <w:rPr>
                <w:color w:val="000000"/>
              </w:rPr>
              <w:t xml:space="preserve">qu’ils ont souscrit les déclarations prévues par les lois et règlements en vigueur. </w:t>
            </w:r>
          </w:p>
          <w:p>
            <w:pPr>
              <w:pStyle w:val="3"/>
              <w:widowControl w:val="0"/>
              <w:numPr>
                <w:ilvl w:val="0"/>
                <w:numId w:val="23"/>
              </w:numPr>
              <w:jc w:val="both"/>
              <w:rPr>
                <w:color w:val="000000"/>
              </w:rPr>
            </w:pPr>
            <w:r>
              <w:rPr>
                <w:color w:val="000000"/>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pPr>
              <w:pStyle w:val="3"/>
              <w:widowControl w:val="0"/>
              <w:jc w:val="both"/>
              <w:rPr>
                <w:sz w:val="20"/>
                <w:szCs w:val="20"/>
              </w:rPr>
            </w:pPr>
            <w:r>
              <w:rPr>
                <w:b/>
              </w:rPr>
              <w:t>NB : Sous peine de rejet, les pièces du dossier administratif requises doivent être produites en originaux ou en copies certifiées conformes par le service émetteur ou l’autorité administrative compétente</w:t>
            </w:r>
            <w:r>
              <w:rPr>
                <w:b/>
                <w:strike/>
              </w:rPr>
              <w:t>,</w:t>
            </w:r>
            <w:r>
              <w:rPr>
                <w:b/>
              </w:rPr>
              <w:t xml:space="preserve"> conformément aux dispositions du Règlement Particulier de l’Appel d’Offres. Elles doivent être valides à la date limite originelle de dépôt des offres</w:t>
            </w:r>
          </w:p>
          <w:p>
            <w:pPr>
              <w:pStyle w:val="3"/>
              <w:widowControl w:val="0"/>
              <w:jc w:val="both"/>
              <w:rPr>
                <w:b/>
                <w:i/>
                <w:sz w:val="20"/>
                <w:szCs w:val="20"/>
              </w:rPr>
            </w:pPr>
            <w:r>
              <w:rPr>
                <w:b/>
                <w:i/>
              </w:rPr>
              <w:t>B–Volume II : Offre technique</w:t>
            </w:r>
          </w:p>
          <w:p>
            <w:pPr>
              <w:pStyle w:val="3"/>
              <w:widowControl w:val="0"/>
              <w:jc w:val="both"/>
              <w:rPr>
                <w:b/>
                <w:i/>
                <w:smallCaps/>
              </w:rPr>
            </w:pPr>
            <w:r>
              <w:t>Elle comprend notamment :</w:t>
            </w:r>
          </w:p>
          <w:p>
            <w:pPr>
              <w:pStyle w:val="3"/>
              <w:widowControl w:val="0"/>
              <w:jc w:val="both"/>
              <w:rPr>
                <w:b/>
                <w:sz w:val="20"/>
                <w:szCs w:val="20"/>
              </w:rPr>
            </w:pPr>
            <w:r>
              <w:rPr>
                <w:b/>
                <w:i/>
              </w:rPr>
              <w:t>b1. Les renseignements sur la qualification</w:t>
            </w:r>
          </w:p>
          <w:p>
            <w:pPr>
              <w:pStyle w:val="3"/>
              <w:widowControl w:val="0"/>
              <w:jc w:val="both"/>
              <w:rPr>
                <w:b/>
                <w:i/>
                <w:smallCaps/>
              </w:rPr>
            </w:pPr>
            <w:r>
              <w:t>La liste des documents à fournir par les soumissionnaires pour justifier leur qualification, notamment en ce qui concerne les références, le matériel et le personnel comprend :</w:t>
            </w:r>
          </w:p>
          <w:p>
            <w:pPr>
              <w:pStyle w:val="3"/>
              <w:widowControl w:val="0"/>
              <w:jc w:val="both"/>
              <w:rPr>
                <w:b/>
                <w:i/>
                <w:smallCaps/>
              </w:rPr>
            </w:pPr>
            <w:r>
              <w:rPr>
                <w:b/>
              </w:rPr>
              <w:t xml:space="preserve">b.1.1 </w:t>
            </w:r>
            <w:r>
              <w:t xml:space="preserve">la lettre de soumission de la proposition technique </w:t>
            </w:r>
          </w:p>
          <w:p>
            <w:pPr>
              <w:pStyle w:val="3"/>
              <w:widowControl w:val="0"/>
              <w:jc w:val="both"/>
              <w:rPr>
                <w:b/>
                <w:sz w:val="20"/>
                <w:szCs w:val="20"/>
              </w:rPr>
            </w:pPr>
            <w:r>
              <w:rPr>
                <w:b/>
                <w:i/>
              </w:rPr>
              <w:t>b.1.2 Références du soumissionnaire</w:t>
            </w:r>
          </w:p>
          <w:p>
            <w:pPr>
              <w:pStyle w:val="3"/>
              <w:numPr>
                <w:ilvl w:val="0"/>
                <w:numId w:val="25"/>
              </w:numPr>
              <w:ind w:left="1014" w:hanging="294"/>
              <w:jc w:val="both"/>
              <w:rPr>
                <w:i/>
                <w:color w:val="000000"/>
              </w:rPr>
            </w:pPr>
            <w:bookmarkStart w:id="81" w:name="_3ls5o66" w:colFirst="0" w:colLast="0"/>
            <w:bookmarkEnd w:id="81"/>
            <w:r>
              <w:rPr>
                <w:i/>
                <w:color w:val="000000"/>
              </w:rPr>
              <w:t>La liste des marchés réalisés (Maître d’Ouvrage, Objet, Montant, Date de réception) par le soumissionnaire en tant qu’entrepreneur principal (ou sous-traitant) au cours des trois dernières années.</w:t>
            </w:r>
          </w:p>
          <w:p>
            <w:pPr>
              <w:pStyle w:val="3"/>
              <w:jc w:val="both"/>
              <w:rPr>
                <w:i/>
                <w:color w:val="000000"/>
              </w:rPr>
            </w:pPr>
            <w:r>
              <w:rPr>
                <w:i/>
                <w:color w:val="000000"/>
              </w:rPr>
              <w:t xml:space="preserve">Ces références devront être accompagnées des pièces justificatives, en l’occurrence : </w:t>
            </w:r>
          </w:p>
          <w:p>
            <w:pPr>
              <w:pStyle w:val="3"/>
              <w:numPr>
                <w:ilvl w:val="0"/>
                <w:numId w:val="25"/>
              </w:numPr>
              <w:jc w:val="both"/>
              <w:rPr>
                <w:i/>
                <w:color w:val="000000"/>
              </w:rPr>
            </w:pPr>
            <w:r>
              <w:rPr>
                <w:i/>
                <w:color w:val="000000"/>
              </w:rPr>
              <w:t>Copies des première, deuxième et dernière pages du contrat ;</w:t>
            </w:r>
          </w:p>
          <w:p>
            <w:pPr>
              <w:pStyle w:val="3"/>
              <w:numPr>
                <w:ilvl w:val="0"/>
                <w:numId w:val="25"/>
              </w:numPr>
              <w:jc w:val="both"/>
              <w:rPr>
                <w:i/>
                <w:color w:val="000000"/>
              </w:rPr>
            </w:pPr>
            <w:r>
              <w:rPr>
                <w:i/>
                <w:color w:val="000000"/>
              </w:rPr>
              <w:t>PV de réception définitive ou provisoire, ou l’Attestation de bonne fin ;</w:t>
            </w:r>
          </w:p>
          <w:p>
            <w:pPr>
              <w:pStyle w:val="3"/>
              <w:numPr>
                <w:ilvl w:val="0"/>
                <w:numId w:val="25"/>
              </w:numPr>
              <w:jc w:val="both"/>
              <w:rPr>
                <w:i/>
                <w:color w:val="000000"/>
              </w:rPr>
            </w:pPr>
            <w:r>
              <w:rPr>
                <w:i/>
                <w:color w:val="000000"/>
              </w:rPr>
              <w:t>Autres justificatifs, le cas échéant à préciser.</w:t>
            </w:r>
          </w:p>
          <w:p>
            <w:pPr>
              <w:pStyle w:val="3"/>
              <w:ind w:left="426" w:right="284"/>
              <w:jc w:val="both"/>
              <w:rPr>
                <w:b/>
                <w:sz w:val="20"/>
                <w:szCs w:val="20"/>
              </w:rPr>
            </w:pPr>
            <w:r>
              <w:t>Dans le cadre de la passation des marchés relevant du seuil des lettres­ commandes,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pPr>
              <w:pStyle w:val="3"/>
              <w:jc w:val="both"/>
              <w:rPr>
                <w:i/>
                <w:color w:val="000000"/>
              </w:rPr>
            </w:pPr>
            <w:r>
              <w:rPr>
                <w:i/>
                <w:color w:val="000000"/>
              </w:rPr>
              <w:t xml:space="preserve">Ces références devront être accompagnées des pièces justificatives, en l’occurrence : </w:t>
            </w:r>
          </w:p>
          <w:p>
            <w:pPr>
              <w:pStyle w:val="3"/>
              <w:numPr>
                <w:ilvl w:val="0"/>
                <w:numId w:val="26"/>
              </w:numPr>
              <w:ind w:left="720"/>
              <w:jc w:val="both"/>
              <w:rPr>
                <w:i/>
                <w:color w:val="000000"/>
              </w:rPr>
            </w:pPr>
            <w:r>
              <w:rPr>
                <w:i/>
                <w:color w:val="000000"/>
              </w:rPr>
              <w:t>CV ;</w:t>
            </w:r>
          </w:p>
          <w:p>
            <w:pPr>
              <w:pStyle w:val="3"/>
              <w:numPr>
                <w:ilvl w:val="0"/>
                <w:numId w:val="26"/>
              </w:numPr>
              <w:ind w:left="720"/>
              <w:jc w:val="both"/>
              <w:rPr>
                <w:i/>
                <w:color w:val="000000"/>
              </w:rPr>
            </w:pPr>
            <w:r>
              <w:rPr>
                <w:i/>
                <w:color w:val="000000"/>
              </w:rPr>
              <w:t>Contrats de travail ;</w:t>
            </w:r>
          </w:p>
          <w:p>
            <w:pPr>
              <w:pStyle w:val="3"/>
              <w:numPr>
                <w:ilvl w:val="0"/>
                <w:numId w:val="26"/>
              </w:numPr>
              <w:ind w:left="720"/>
              <w:jc w:val="both"/>
              <w:rPr>
                <w:i/>
                <w:color w:val="000000"/>
              </w:rPr>
            </w:pPr>
            <w:r>
              <w:rPr>
                <w:i/>
                <w:color w:val="000000"/>
              </w:rPr>
              <w:t>Divers actes de promotion intervenus dans la carrière ;</w:t>
            </w:r>
          </w:p>
          <w:p>
            <w:pPr>
              <w:pStyle w:val="3"/>
              <w:widowControl w:val="0"/>
              <w:jc w:val="both"/>
              <w:rPr>
                <w:b/>
                <w:sz w:val="20"/>
                <w:szCs w:val="20"/>
              </w:rPr>
            </w:pPr>
            <w:r>
              <w:rPr>
                <w:b/>
              </w:rPr>
              <w:t xml:space="preserve">b.1.3. Personnel </w:t>
            </w:r>
          </w:p>
          <w:p>
            <w:pPr>
              <w:pStyle w:val="3"/>
              <w:widowControl w:val="0"/>
              <w:numPr>
                <w:ilvl w:val="0"/>
                <w:numId w:val="27"/>
              </w:numPr>
              <w:ind w:left="1014" w:hanging="294"/>
              <w:jc w:val="both"/>
              <w:rPr>
                <w:color w:val="000000"/>
              </w:rPr>
            </w:pPr>
            <w:r>
              <w:rPr>
                <w:color w:val="000000"/>
              </w:rPr>
              <w:t>Une liste du personnel clé qualifié pour l’exécution des travaux selon le modèle annexé au DAO</w:t>
            </w:r>
          </w:p>
          <w:p>
            <w:pPr>
              <w:pStyle w:val="3"/>
              <w:tabs>
                <w:tab w:val="left" w:pos="993"/>
              </w:tabs>
              <w:ind w:right="-74"/>
              <w:jc w:val="both"/>
              <w:rPr>
                <w:sz w:val="20"/>
                <w:szCs w:val="20"/>
              </w:rPr>
            </w:pPr>
            <w:r>
              <w:rPr>
                <w:b/>
              </w:rPr>
              <w:t>NB</w:t>
            </w:r>
            <w:r>
              <w:t xml:space="preserve"> : Joindre, pour le personnel proposé, une copie du diplôme et les justificatifs </w:t>
            </w:r>
          </w:p>
          <w:p>
            <w:pPr>
              <w:pStyle w:val="3"/>
              <w:tabs>
                <w:tab w:val="left" w:pos="993"/>
              </w:tabs>
              <w:ind w:right="-74"/>
              <w:jc w:val="both"/>
              <w:rPr>
                <w:sz w:val="20"/>
                <w:szCs w:val="20"/>
              </w:rPr>
            </w:pPr>
            <w:r>
              <w:t xml:space="preserve">        de l’expérience, à savoir : </w:t>
            </w:r>
          </w:p>
          <w:p>
            <w:pPr>
              <w:pStyle w:val="3"/>
              <w:numPr>
                <w:ilvl w:val="0"/>
                <w:numId w:val="28"/>
              </w:numPr>
              <w:tabs>
                <w:tab w:val="left" w:pos="993"/>
              </w:tabs>
              <w:ind w:right="-74" w:hanging="294"/>
              <w:jc w:val="both"/>
              <w:rPr>
                <w:b/>
                <w:i/>
                <w:smallCaps/>
              </w:rPr>
            </w:pPr>
            <w:r>
              <w:t>copie certifiée conforme du diplôme datant de moins de trois (03) mois ;</w:t>
            </w:r>
          </w:p>
          <w:p>
            <w:pPr>
              <w:pStyle w:val="3"/>
              <w:numPr>
                <w:ilvl w:val="0"/>
                <w:numId w:val="28"/>
              </w:numPr>
              <w:tabs>
                <w:tab w:val="left" w:pos="993"/>
              </w:tabs>
              <w:ind w:right="-74" w:hanging="294"/>
              <w:jc w:val="both"/>
              <w:rPr>
                <w:b/>
                <w:i/>
                <w:smallCaps/>
              </w:rPr>
            </w:pPr>
            <w:r>
              <w:t>attestation d’inscription aux ordres nationaux, le cas échéant;</w:t>
            </w:r>
          </w:p>
          <w:p>
            <w:pPr>
              <w:pStyle w:val="3"/>
              <w:numPr>
                <w:ilvl w:val="0"/>
                <w:numId w:val="28"/>
              </w:numPr>
              <w:tabs>
                <w:tab w:val="left" w:pos="993"/>
              </w:tabs>
              <w:ind w:right="-74" w:hanging="294"/>
              <w:jc w:val="both"/>
              <w:rPr>
                <w:b/>
                <w:i/>
                <w:smallCaps/>
              </w:rPr>
            </w:pPr>
            <w:r>
              <w:t>curriculum vitae signé et daté de l’expert;</w:t>
            </w:r>
          </w:p>
          <w:p>
            <w:pPr>
              <w:pStyle w:val="3"/>
              <w:numPr>
                <w:ilvl w:val="0"/>
                <w:numId w:val="28"/>
              </w:numPr>
              <w:tabs>
                <w:tab w:val="left" w:pos="993"/>
              </w:tabs>
              <w:ind w:right="-74" w:hanging="294"/>
              <w:jc w:val="both"/>
              <w:rPr>
                <w:b/>
                <w:i/>
                <w:smallCaps/>
              </w:rPr>
            </w:pPr>
            <w:r>
              <w:t>attestation de disponibilité signée et datée de l’expert;</w:t>
            </w:r>
          </w:p>
          <w:p>
            <w:pPr>
              <w:pStyle w:val="3"/>
              <w:numPr>
                <w:ilvl w:val="0"/>
                <w:numId w:val="28"/>
              </w:numPr>
              <w:jc w:val="both"/>
              <w:rPr>
                <w:color w:val="000000"/>
              </w:rPr>
            </w:pPr>
            <w:r>
              <w:rPr>
                <w:color w:val="000000"/>
              </w:rPr>
              <w:t>une attestation ou contrat de travail, ou journal de chantier justifiant l’expérience le cas échéant.</w:t>
            </w:r>
          </w:p>
          <w:p>
            <w:pPr>
              <w:pStyle w:val="3"/>
              <w:tabs>
                <w:tab w:val="left" w:pos="993"/>
              </w:tabs>
              <w:ind w:right="132"/>
              <w:jc w:val="both"/>
              <w:rPr>
                <w:b/>
                <w:i/>
                <w:color w:val="FF0000"/>
                <w:sz w:val="20"/>
                <w:szCs w:val="20"/>
              </w:rPr>
            </w:pPr>
            <w:r>
              <w:rPr>
                <w:b/>
                <w:i/>
                <w:u w:val="single"/>
              </w:rPr>
              <w:t>NB</w:t>
            </w:r>
            <w:r>
              <w:rPr>
                <w:b/>
                <w:i/>
              </w:rPr>
              <w:t xml:space="preserve"> : Toutes les pièces citées ci-dessus devront être conformes, signées et datées de moins de trois mois pour compter de la date limite originelle de dépôt des offres</w:t>
            </w:r>
            <w:r>
              <w:rPr>
                <w:i/>
              </w:rPr>
              <w:t xml:space="preserve"> </w:t>
            </w:r>
          </w:p>
          <w:p>
            <w:pPr>
              <w:pStyle w:val="3"/>
              <w:widowControl w:val="0"/>
              <w:jc w:val="both"/>
              <w:rPr>
                <w:i/>
                <w:sz w:val="20"/>
                <w:szCs w:val="20"/>
              </w:rPr>
            </w:pPr>
            <w:r>
              <w:rPr>
                <w:b/>
                <w:i/>
              </w:rPr>
              <w:t>b.1</w:t>
            </w:r>
            <w:r>
              <w:rPr>
                <w:i/>
              </w:rPr>
              <w:t>.</w:t>
            </w:r>
            <w:r>
              <w:rPr>
                <w:b/>
                <w:i/>
              </w:rPr>
              <w:t>4</w:t>
            </w:r>
            <w:r>
              <w:rPr>
                <w:i/>
              </w:rPr>
              <w:t xml:space="preserve"> </w:t>
            </w:r>
            <w:r>
              <w:rPr>
                <w:b/>
                <w:i/>
              </w:rPr>
              <w:t>Matériels à mobiliser pour l’exécution des travaux</w:t>
            </w:r>
          </w:p>
          <w:p>
            <w:pPr>
              <w:pStyle w:val="3"/>
              <w:widowControl w:val="0"/>
              <w:ind w:left="720"/>
              <w:jc w:val="both"/>
              <w:rPr>
                <w:b/>
                <w:strike/>
                <w:color w:val="000000"/>
              </w:rPr>
            </w:pPr>
            <w:r>
              <w:rPr>
                <w:color w:val="000000"/>
              </w:rPr>
              <w:t xml:space="preserve">Une liste des matériels à mobiliser, qui devra comprendre au moins : </w:t>
            </w:r>
            <w:r>
              <w:rPr>
                <w:b/>
                <w:color w:val="000000"/>
              </w:rPr>
              <w:t>à préciser</w:t>
            </w:r>
          </w:p>
          <w:p>
            <w:pPr>
              <w:pStyle w:val="3"/>
              <w:widowControl w:val="0"/>
              <w:ind w:right="-20"/>
              <w:jc w:val="both"/>
              <w:rPr>
                <w:b/>
                <w:i/>
                <w:sz w:val="20"/>
                <w:szCs w:val="20"/>
              </w:rPr>
            </w:pPr>
            <w:r>
              <w:rPr>
                <w:b/>
                <w:i/>
                <w:u w:val="single"/>
              </w:rPr>
              <w:t>NB</w:t>
            </w:r>
            <w:r>
              <w:rPr>
                <w:b/>
                <w:i/>
              </w:rPr>
              <w:t xml:space="preserve"> : Joindre les copies certifiées par les services émetteurs ou toute autre autorité habilitée, des cartes grises pour les matériels roulants et les factures d’achat pour les autres, le cas échéant, accompagnées d’un engagement de location de matériel signé.</w:t>
            </w:r>
          </w:p>
          <w:p>
            <w:pPr>
              <w:pStyle w:val="3"/>
              <w:widowControl w:val="0"/>
              <w:ind w:right="-20"/>
              <w:jc w:val="both"/>
              <w:rPr>
                <w:b/>
                <w:sz w:val="20"/>
                <w:szCs w:val="20"/>
              </w:rPr>
            </w:pPr>
            <w:r>
              <w:rPr>
                <w:b/>
              </w:rPr>
              <w:t>b.2. Organisation et Méthodologie</w:t>
            </w:r>
          </w:p>
          <w:p>
            <w:pPr>
              <w:pStyle w:val="3"/>
              <w:widowControl w:val="0"/>
              <w:tabs>
                <w:tab w:val="left" w:pos="1360"/>
                <w:tab w:val="left" w:pos="2620"/>
                <w:tab w:val="left" w:pos="3240"/>
                <w:tab w:val="left" w:pos="3400"/>
              </w:tabs>
              <w:ind w:right="90"/>
              <w:jc w:val="both"/>
              <w:rPr>
                <w:b/>
                <w:i/>
                <w:smallCaps/>
              </w:rPr>
            </w:pPr>
            <w:r>
              <w:t>Le soumissionnaire produira une note descriptive ou méthodologique présentant de manière détaillée les éléments constitutifs de sa proposition technique, notamment :</w:t>
            </w:r>
          </w:p>
          <w:p>
            <w:pPr>
              <w:pStyle w:val="3"/>
              <w:widowControl w:val="0"/>
              <w:numPr>
                <w:ilvl w:val="0"/>
                <w:numId w:val="29"/>
              </w:numPr>
              <w:ind w:right="93"/>
              <w:jc w:val="both"/>
              <w:rPr>
                <w:b/>
                <w:i/>
                <w:smallCaps/>
              </w:rPr>
            </w:pPr>
            <w:r>
              <w:t>L’organisation et l’ordonnancement, qu’il envisage mettre en place pour exécuter efficacement les travaux à laquelle est annexée le rapport de visite des lieux ou l’attestation signée sur l’honneur</w:t>
            </w:r>
            <w:r>
              <w:rPr>
                <w:strike/>
              </w:rPr>
              <w:t>,</w:t>
            </w:r>
            <w:r>
              <w:t xml:space="preserve"> le cas échéant ;</w:t>
            </w:r>
          </w:p>
          <w:p>
            <w:pPr>
              <w:pStyle w:val="3"/>
              <w:widowControl w:val="0"/>
              <w:numPr>
                <w:ilvl w:val="0"/>
                <w:numId w:val="29"/>
              </w:numPr>
              <w:ind w:right="-34"/>
              <w:jc w:val="both"/>
              <w:rPr>
                <w:b/>
                <w:i/>
                <w:smallCaps/>
              </w:rPr>
            </w:pPr>
            <w:r>
              <w:t>le calendrier,  le  planning  et  le  délai  de  livraison des travaux ;</w:t>
            </w:r>
          </w:p>
          <w:p>
            <w:pPr>
              <w:pStyle w:val="3"/>
              <w:numPr>
                <w:ilvl w:val="0"/>
                <w:numId w:val="29"/>
              </w:numPr>
              <w:jc w:val="both"/>
              <w:rPr>
                <w:color w:val="000000"/>
              </w:rPr>
            </w:pPr>
            <w:r>
              <w:rPr>
                <w:color w:val="000000"/>
              </w:rPr>
              <w:t>les dispositions envisagées pour l’utilisation de la main d’œuvre locale (technique HIMO) ;</w:t>
            </w:r>
          </w:p>
          <w:p>
            <w:pPr>
              <w:pStyle w:val="3"/>
              <w:numPr>
                <w:ilvl w:val="0"/>
                <w:numId w:val="29"/>
              </w:numPr>
              <w:jc w:val="both"/>
              <w:rPr>
                <w:color w:val="000000"/>
              </w:rPr>
            </w:pPr>
            <w:r>
              <w:rPr>
                <w:color w:val="000000"/>
              </w:rPr>
              <w:t>les dispositions relatives au respect des mesures environnementales, le cas échéant ;</w:t>
            </w:r>
          </w:p>
          <w:p>
            <w:pPr>
              <w:pStyle w:val="3"/>
              <w:numPr>
                <w:ilvl w:val="0"/>
                <w:numId w:val="29"/>
              </w:numPr>
              <w:jc w:val="both"/>
              <w:rPr>
                <w:color w:val="000000"/>
              </w:rPr>
            </w:pPr>
            <w:r>
              <w:rPr>
                <w:color w:val="000000"/>
              </w:rPr>
              <w:t>les travaux, que le soumissionnaire envisage de sous-traiter ;</w:t>
            </w:r>
          </w:p>
          <w:p>
            <w:pPr>
              <w:pStyle w:val="3"/>
              <w:widowControl w:val="0"/>
              <w:numPr>
                <w:ilvl w:val="0"/>
                <w:numId w:val="29"/>
              </w:numPr>
              <w:ind w:right="-34"/>
              <w:jc w:val="both"/>
              <w:rPr>
                <w:b/>
                <w:i/>
                <w:smallCaps/>
              </w:rPr>
            </w:pPr>
            <w:r>
              <w:t xml:space="preserve">Autres éléments </w:t>
            </w:r>
            <w:r>
              <w:rPr>
                <w:i/>
              </w:rPr>
              <w:t>[à préciser]</w:t>
            </w:r>
          </w:p>
          <w:p>
            <w:pPr>
              <w:pStyle w:val="3"/>
              <w:jc w:val="both"/>
              <w:rPr>
                <w:b/>
                <w:i/>
                <w:color w:val="000000"/>
                <w:sz w:val="20"/>
                <w:szCs w:val="20"/>
              </w:rPr>
            </w:pPr>
            <w:r>
              <w:rPr>
                <w:b/>
                <w:i/>
              </w:rPr>
              <w:t>b.</w:t>
            </w:r>
            <w:r>
              <w:rPr>
                <w:b/>
                <w:i/>
                <w:color w:val="000000"/>
              </w:rPr>
              <w:t xml:space="preserve">3. Le soumissionnaire remplira et souscrira les formulaires : </w:t>
            </w:r>
          </w:p>
          <w:p>
            <w:pPr>
              <w:pStyle w:val="3"/>
              <w:numPr>
                <w:ilvl w:val="0"/>
                <w:numId w:val="30"/>
              </w:numPr>
              <w:ind w:left="714" w:hanging="357"/>
              <w:jc w:val="both"/>
              <w:rPr>
                <w:b/>
                <w:i/>
                <w:color w:val="000000"/>
                <w:sz w:val="22"/>
                <w:szCs w:val="22"/>
              </w:rPr>
            </w:pPr>
            <w:r>
              <w:rPr>
                <w:b/>
                <w:i/>
                <w:color w:val="000000"/>
                <w:sz w:val="22"/>
                <w:szCs w:val="22"/>
              </w:rPr>
              <w:t xml:space="preserve">la charte d’Intégrité </w:t>
            </w:r>
          </w:p>
          <w:p>
            <w:pPr>
              <w:pStyle w:val="3"/>
              <w:numPr>
                <w:ilvl w:val="0"/>
                <w:numId w:val="30"/>
              </w:numPr>
              <w:ind w:left="714" w:hanging="357"/>
              <w:jc w:val="both"/>
              <w:rPr>
                <w:b/>
                <w:i/>
                <w:color w:val="000000"/>
                <w:sz w:val="22"/>
                <w:szCs w:val="22"/>
              </w:rPr>
            </w:pPr>
            <w:r>
              <w:rPr>
                <w:b/>
                <w:i/>
                <w:color w:val="000000"/>
                <w:sz w:val="22"/>
                <w:szCs w:val="22"/>
              </w:rPr>
              <w:t xml:space="preserve"> La Déclaration d’engagement au respect des clauses sociales et environnementales </w:t>
            </w:r>
          </w:p>
          <w:p>
            <w:pPr>
              <w:pStyle w:val="3"/>
              <w:ind w:left="714"/>
              <w:jc w:val="both"/>
              <w:rPr>
                <w:b/>
                <w:i/>
                <w:color w:val="000000"/>
                <w:sz w:val="10"/>
                <w:szCs w:val="10"/>
              </w:rPr>
            </w:pPr>
          </w:p>
          <w:p>
            <w:pPr>
              <w:pStyle w:val="3"/>
              <w:widowControl w:val="0"/>
              <w:ind w:left="567" w:right="-34" w:hanging="567"/>
              <w:jc w:val="both"/>
              <w:rPr>
                <w:b/>
                <w:i/>
                <w:color w:val="000000"/>
                <w:sz w:val="20"/>
                <w:szCs w:val="20"/>
              </w:rPr>
            </w:pPr>
            <w:r>
              <w:rPr>
                <w:b/>
                <w:i/>
                <w:color w:val="000000"/>
              </w:rPr>
              <w:t>b.4</w:t>
            </w:r>
            <w:r>
              <w:rPr>
                <w:i/>
                <w:color w:val="000000"/>
              </w:rPr>
              <w:t xml:space="preserve">.  </w:t>
            </w:r>
            <w:r>
              <w:rPr>
                <w:b/>
                <w:i/>
                <w:color w:val="000000"/>
              </w:rPr>
              <w:t>Les preuves d’acceptations des conditions du marché</w:t>
            </w:r>
          </w:p>
          <w:p>
            <w:pPr>
              <w:pStyle w:val="3"/>
              <w:widowControl w:val="0"/>
              <w:ind w:right="95"/>
              <w:jc w:val="both"/>
              <w:rPr>
                <w:color w:val="000000"/>
                <w:sz w:val="20"/>
                <w:szCs w:val="20"/>
              </w:rPr>
            </w:pPr>
            <w:r>
              <w:rPr>
                <w:color w:val="000000"/>
              </w:rPr>
              <w:t xml:space="preserve">Le soumissionnaire remettra les copies dûment paraphées sur chaque page et signée à la dernière précédée de la mention </w:t>
            </w:r>
            <w:r>
              <w:rPr>
                <w:b/>
                <w:i/>
                <w:color w:val="000000"/>
              </w:rPr>
              <w:t>« lu et approuvé »</w:t>
            </w:r>
            <w:r>
              <w:rPr>
                <w:color w:val="000000"/>
              </w:rPr>
              <w:t xml:space="preserve"> des documents ci-après : </w:t>
            </w:r>
          </w:p>
          <w:p>
            <w:pPr>
              <w:pStyle w:val="3"/>
              <w:widowControl w:val="0"/>
              <w:numPr>
                <w:ilvl w:val="0"/>
                <w:numId w:val="29"/>
              </w:numPr>
              <w:tabs>
                <w:tab w:val="left" w:pos="860"/>
                <w:tab w:val="left" w:pos="1820"/>
                <w:tab w:val="left" w:pos="2460"/>
                <w:tab w:val="left" w:pos="3560"/>
              </w:tabs>
              <w:ind w:right="-38"/>
              <w:jc w:val="both"/>
              <w:rPr>
                <w:b/>
                <w:i/>
                <w:smallCaps/>
              </w:rPr>
            </w:pPr>
            <w:r>
              <w:t>Le Cahier des Clauses Administratives Particulières (CCAP) ;</w:t>
            </w:r>
          </w:p>
          <w:p>
            <w:pPr>
              <w:pStyle w:val="3"/>
              <w:widowControl w:val="0"/>
              <w:numPr>
                <w:ilvl w:val="0"/>
                <w:numId w:val="29"/>
              </w:numPr>
              <w:ind w:right="-20"/>
              <w:jc w:val="both"/>
              <w:rPr>
                <w:b/>
                <w:i/>
                <w:smallCaps/>
              </w:rPr>
            </w:pPr>
            <w:r>
              <w:t>Les cahiers des clauses techniques Particulières.</w:t>
            </w:r>
          </w:p>
          <w:p>
            <w:pPr>
              <w:pStyle w:val="3"/>
              <w:widowControl w:val="0"/>
              <w:ind w:left="360" w:right="-20"/>
              <w:jc w:val="both"/>
              <w:rPr>
                <w:b/>
                <w:i/>
                <w:smallCaps/>
              </w:rPr>
            </w:pPr>
            <w:r>
              <w:rPr>
                <w:b/>
              </w:rPr>
              <w:t>NB </w:t>
            </w:r>
            <w:r>
              <w:t xml:space="preserve">: </w:t>
            </w:r>
            <w:r>
              <w:rPr>
                <w:b/>
                <w:i/>
              </w:rPr>
              <w:t>la non acceptation des clauses du marché entrainera l’élimination du soumissionnaire</w:t>
            </w:r>
            <w:r>
              <w:t xml:space="preserve">.  </w:t>
            </w:r>
          </w:p>
          <w:p>
            <w:pPr>
              <w:pStyle w:val="3"/>
              <w:widowControl w:val="0"/>
              <w:jc w:val="both"/>
              <w:rPr>
                <w:b/>
                <w:i/>
                <w:color w:val="000000"/>
                <w:sz w:val="20"/>
                <w:szCs w:val="20"/>
              </w:rPr>
            </w:pPr>
            <w:r>
              <w:rPr>
                <w:b/>
                <w:i/>
                <w:color w:val="000000"/>
              </w:rPr>
              <w:t xml:space="preserve">b.5.Commentaires CCAP et CCTP </w:t>
            </w:r>
          </w:p>
          <w:p>
            <w:pPr>
              <w:pStyle w:val="3"/>
              <w:widowControl w:val="0"/>
              <w:jc w:val="both"/>
              <w:rPr>
                <w:color w:val="000000"/>
                <w:sz w:val="20"/>
                <w:szCs w:val="20"/>
              </w:rPr>
            </w:pPr>
            <w:r>
              <w:rPr>
                <w:color w:val="000000"/>
              </w:rPr>
              <w:t xml:space="preserve">Le soumissionnaire devra joindre la note d’observation sur les CCAP et/ou les CCTP, assortie d’éventuelles propositions. </w:t>
            </w:r>
          </w:p>
          <w:p>
            <w:pPr>
              <w:pStyle w:val="3"/>
              <w:widowControl w:val="0"/>
              <w:jc w:val="both"/>
              <w:rPr>
                <w:b/>
                <w:i/>
                <w:color w:val="000000"/>
                <w:sz w:val="20"/>
                <w:szCs w:val="20"/>
              </w:rPr>
            </w:pPr>
            <w:r>
              <w:rPr>
                <w:b/>
                <w:i/>
                <w:color w:val="000000"/>
              </w:rPr>
              <w:t>b 6- La capacité financière ;</w:t>
            </w:r>
          </w:p>
          <w:p>
            <w:pPr>
              <w:pStyle w:val="3"/>
              <w:jc w:val="both"/>
              <w:rPr>
                <w:color w:val="ED7D31"/>
                <w:sz w:val="20"/>
                <w:szCs w:val="20"/>
              </w:rPr>
            </w:pPr>
            <w:bookmarkStart w:id="82" w:name="_20xfydz" w:colFirst="0" w:colLast="0"/>
            <w:bookmarkEnd w:id="82"/>
            <w:r>
              <w:t xml:space="preserve">Les </w:t>
            </w:r>
            <w:r>
              <w:rPr>
                <w:color w:val="ED7D31"/>
              </w:rPr>
              <w:t>Soumissionnaires devront présenter notamment :</w:t>
            </w:r>
          </w:p>
          <w:p>
            <w:pPr>
              <w:pStyle w:val="3"/>
              <w:numPr>
                <w:ilvl w:val="0"/>
                <w:numId w:val="31"/>
              </w:numPr>
              <w:jc w:val="both"/>
              <w:rPr>
                <w:b/>
                <w:i/>
                <w:smallCaps/>
              </w:rPr>
            </w:pPr>
            <w:r>
              <w:rPr>
                <w:color w:val="ED7D31"/>
              </w:rPr>
              <w:t>Les états financiers certifiés ou, si cela n’est pas requis par la réglementation du pays du candidat, autres états financiers acceptables par le Maître d’Ouvrage  03</w:t>
            </w:r>
            <w:r>
              <w:rPr>
                <w:color w:val="ED7D31"/>
                <w:vertAlign w:val="superscript"/>
              </w:rPr>
              <w:t xml:space="preserve"> </w:t>
            </w:r>
            <w:r>
              <w:rPr>
                <w:color w:val="ED7D31"/>
              </w:rPr>
              <w:t xml:space="preserve">dernières années démontrant la </w:t>
            </w:r>
            <w:r>
              <w:t>solidité actuelle de la position financière du candidat</w:t>
            </w:r>
          </w:p>
          <w:p>
            <w:pPr>
              <w:pStyle w:val="3"/>
              <w:numPr>
                <w:ilvl w:val="0"/>
                <w:numId w:val="31"/>
              </w:numPr>
              <w:jc w:val="both"/>
              <w:rPr>
                <w:b/>
                <w:i/>
                <w:smallCaps/>
              </w:rPr>
            </w:pPr>
            <w:r>
              <w:t>L’attestation de capacité financière d’un montant de 17 880 400(dix-sept millions nuit cent quatre-vingt mille quatre cent) francs CFA délivrée par une banque agréée de 1</w:t>
            </w:r>
            <w:r>
              <w:rPr>
                <w:vertAlign w:val="superscript"/>
              </w:rPr>
              <w:t>er</w:t>
            </w:r>
            <w:r>
              <w:t xml:space="preserve"> ordre,  </w:t>
            </w:r>
          </w:p>
          <w:p>
            <w:pPr>
              <w:pStyle w:val="3"/>
              <w:numPr>
                <w:ilvl w:val="0"/>
                <w:numId w:val="31"/>
              </w:numPr>
              <w:jc w:val="both"/>
              <w:rPr>
                <w:b/>
                <w:i/>
                <w:smallCaps/>
              </w:rPr>
            </w:pPr>
            <w:r>
              <w:t xml:space="preserve">Les chiffres d’affaires annuels selon le bilan certifié ou une déclaration statistique et fiscale, selon le modèle en annexe. </w:t>
            </w:r>
            <w:r>
              <w:rPr>
                <w:i/>
              </w:rPr>
              <w:t xml:space="preserve">  </w:t>
            </w:r>
          </w:p>
          <w:p>
            <w:pPr>
              <w:pStyle w:val="3"/>
              <w:jc w:val="both"/>
              <w:rPr>
                <w:i/>
                <w:sz w:val="20"/>
                <w:szCs w:val="20"/>
              </w:rPr>
            </w:pPr>
            <w:r>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pPr>
              <w:pStyle w:val="3"/>
              <w:jc w:val="both"/>
              <w:rPr>
                <w:sz w:val="2"/>
                <w:szCs w:val="2"/>
              </w:rPr>
            </w:pPr>
          </w:p>
          <w:p>
            <w:pPr>
              <w:pStyle w:val="3"/>
              <w:jc w:val="both"/>
              <w:rPr>
                <w:i/>
                <w:sz w:val="20"/>
                <w:szCs w:val="20"/>
              </w:rPr>
            </w:pPr>
            <w:r>
              <w:rPr>
                <w:b/>
                <w:i/>
              </w:rPr>
              <w:t>Pour les entreprises naissantes</w:t>
            </w:r>
            <w:r>
              <w:rPr>
                <w:i/>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Pr>
                <w:i/>
                <w:sz w:val="20"/>
                <w:szCs w:val="20"/>
              </w:rPr>
              <w:t>.</w:t>
            </w:r>
          </w:p>
          <w:p>
            <w:pPr>
              <w:pStyle w:val="3"/>
              <w:jc w:val="both"/>
              <w:rPr>
                <w:sz w:val="8"/>
                <w:szCs w:val="8"/>
              </w:rPr>
            </w:pPr>
          </w:p>
          <w:p>
            <w:pPr>
              <w:pStyle w:val="3"/>
              <w:jc w:val="both"/>
              <w:rPr>
                <w:i/>
                <w:sz w:val="20"/>
                <w:szCs w:val="20"/>
              </w:rPr>
            </w:pPr>
            <w:r>
              <w:rPr>
                <w:i/>
                <w:sz w:val="20"/>
                <w:szCs w:val="20"/>
              </w:rPr>
              <w:t xml:space="preserve">1. </w:t>
            </w:r>
            <w:r>
              <w:rPr>
                <w:i/>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pPr>
              <w:pStyle w:val="3"/>
              <w:jc w:val="both"/>
              <w:rPr>
                <w:i/>
                <w:sz w:val="20"/>
                <w:szCs w:val="20"/>
              </w:rPr>
            </w:pPr>
            <w:r>
              <w:rPr>
                <w:i/>
                <w:sz w:val="20"/>
                <w:szCs w:val="20"/>
              </w:rPr>
              <w:t xml:space="preserve">2. </w:t>
            </w:r>
            <w:r>
              <w:rPr>
                <w:i/>
              </w:rPr>
              <w:t>La période est normalement de trois ans.</w:t>
            </w:r>
          </w:p>
          <w:p>
            <w:pPr>
              <w:pStyle w:val="3"/>
              <w:jc w:val="both"/>
              <w:rPr>
                <w:i/>
                <w:sz w:val="20"/>
                <w:szCs w:val="20"/>
              </w:rPr>
            </w:pPr>
            <w:r>
              <w:rPr>
                <w:i/>
                <w:sz w:val="20"/>
                <w:szCs w:val="20"/>
              </w:rPr>
              <w:t xml:space="preserve">3. </w:t>
            </w:r>
            <w:r>
              <w:rPr>
                <w:i/>
              </w:rPr>
              <w:t>En cas de groupement, l’on pourra indiquer que, chaque membre du groupement devra satisfaire à 25 ou 30 % du montant global exigé, que le mandataire d’un groupement devra satisfaire à 50 ou 60 % du montant global exigé.</w:t>
            </w:r>
          </w:p>
          <w:p>
            <w:pPr>
              <w:pStyle w:val="3"/>
              <w:jc w:val="both"/>
              <w:rPr>
                <w:i/>
                <w:sz w:val="20"/>
                <w:szCs w:val="20"/>
              </w:rPr>
            </w:pPr>
            <w:r>
              <w:rPr>
                <w:i/>
                <w:sz w:val="20"/>
                <w:szCs w:val="20"/>
              </w:rPr>
              <w:t xml:space="preserve">5. </w:t>
            </w:r>
            <w:r>
              <w:rPr>
                <w:i/>
              </w:rPr>
              <w:t>Le montant du chiffre d’affaires ne saurait être fixé à un niveau trop élevé de nature à empêcher les entreprises, qui disposent des capacités techniques et financières requises de répondre aux critères de qualifications.]</w:t>
            </w:r>
          </w:p>
          <w:p>
            <w:pPr>
              <w:pStyle w:val="3"/>
              <w:widowControl w:val="0"/>
              <w:jc w:val="both"/>
              <w:rPr>
                <w:b/>
                <w:i/>
                <w:sz w:val="20"/>
                <w:szCs w:val="20"/>
              </w:rPr>
            </w:pPr>
            <w:r>
              <w:rPr>
                <w:b/>
                <w:i/>
                <w:color w:val="000000"/>
              </w:rPr>
              <w:t xml:space="preserve">b-7- l’attestation </w:t>
            </w:r>
            <w:r>
              <w:rPr>
                <w:b/>
                <w:i/>
              </w:rPr>
              <w:t xml:space="preserve">de non abandon de chantier au cours des trois dernières années </w:t>
            </w:r>
          </w:p>
          <w:p>
            <w:pPr>
              <w:pStyle w:val="3"/>
              <w:widowControl w:val="0"/>
              <w:ind w:left="34" w:right="-20"/>
              <w:jc w:val="both"/>
              <w:rPr>
                <w:b/>
                <w:i/>
                <w:smallCaps/>
              </w:rPr>
            </w:pPr>
            <w:r>
              <w:rPr>
                <w:b/>
              </w:rPr>
              <w:t>C.  Volume 3 : Offre financière</w:t>
            </w:r>
          </w:p>
          <w:p>
            <w:pPr>
              <w:pStyle w:val="3"/>
              <w:widowControl w:val="0"/>
              <w:ind w:left="34" w:right="-20"/>
              <w:jc w:val="both"/>
              <w:rPr>
                <w:b/>
                <w:i/>
                <w:smallCaps/>
              </w:rPr>
            </w:pPr>
            <w:r>
              <w:t>Cette enveloppe comprendra les documents ci-après :</w:t>
            </w:r>
          </w:p>
          <w:p>
            <w:pPr>
              <w:pStyle w:val="3"/>
              <w:widowControl w:val="0"/>
              <w:ind w:right="158"/>
              <w:jc w:val="both"/>
              <w:rPr>
                <w:b/>
                <w:i/>
                <w:smallCaps/>
              </w:rPr>
            </w:pPr>
            <w:r>
              <w:rPr>
                <w:b/>
              </w:rPr>
              <w:t>c.1. La soumission proprement dite</w:t>
            </w:r>
            <w:r>
              <w:t>, en original rédigée selon le modèle joint, timbré au tarif en vigueur, signée et datée ;</w:t>
            </w:r>
          </w:p>
          <w:p>
            <w:pPr>
              <w:pStyle w:val="3"/>
              <w:widowControl w:val="0"/>
              <w:ind w:right="-20"/>
              <w:jc w:val="both"/>
              <w:rPr>
                <w:b/>
                <w:i/>
                <w:smallCaps/>
              </w:rPr>
            </w:pPr>
            <w:r>
              <w:rPr>
                <w:b/>
              </w:rPr>
              <w:t>c.2. Le Bordereau des prix unitaires et/ou forfaitaires</w:t>
            </w:r>
            <w:r>
              <w:t xml:space="preserve"> dûment rempli ;</w:t>
            </w:r>
          </w:p>
          <w:p>
            <w:pPr>
              <w:pStyle w:val="3"/>
              <w:widowControl w:val="0"/>
              <w:ind w:right="-20"/>
              <w:jc w:val="both"/>
              <w:rPr>
                <w:b/>
                <w:i/>
                <w:smallCaps/>
              </w:rPr>
            </w:pPr>
            <w:r>
              <w:rPr>
                <w:b/>
              </w:rPr>
              <w:t>c.3.Le Détail quantitatif et estimatif</w:t>
            </w:r>
            <w:r>
              <w:t xml:space="preserve"> dûment rempli ;</w:t>
            </w:r>
          </w:p>
          <w:p>
            <w:pPr>
              <w:pStyle w:val="3"/>
              <w:widowControl w:val="0"/>
              <w:ind w:right="-20"/>
              <w:jc w:val="both"/>
              <w:rPr>
                <w:b/>
                <w:i/>
                <w:smallCaps/>
              </w:rPr>
            </w:pPr>
            <w:r>
              <w:rPr>
                <w:b/>
              </w:rPr>
              <w:t xml:space="preserve">c.4. Le Sous-détail des prix unitaires et/ou la décomposition des prix forfaitaires </w:t>
            </w:r>
            <w:r>
              <w:t>;</w:t>
            </w:r>
          </w:p>
          <w:p>
            <w:pPr>
              <w:pStyle w:val="3"/>
              <w:widowControl w:val="0"/>
              <w:ind w:left="34" w:right="-269" w:hanging="34"/>
              <w:jc w:val="both"/>
              <w:rPr>
                <w:sz w:val="20"/>
                <w:szCs w:val="20"/>
              </w:rPr>
            </w:pPr>
            <w:r>
              <w:t xml:space="preserve">Les soumissionnaires utiliseront à cet effet les pièces et modèles ou formulaires types </w:t>
            </w:r>
          </w:p>
          <w:p>
            <w:pPr>
              <w:pStyle w:val="3"/>
              <w:widowControl w:val="0"/>
              <w:ind w:left="34" w:right="-269" w:hanging="34"/>
              <w:jc w:val="both"/>
              <w:rPr>
                <w:b/>
                <w:i/>
                <w:smallCaps/>
              </w:rPr>
            </w:pPr>
            <w:r>
              <w:t>prévus dans le Dossier d’Appel d’Offres.</w:t>
            </w:r>
          </w:p>
          <w:p>
            <w:pPr>
              <w:pStyle w:val="3"/>
              <w:widowControl w:val="0"/>
              <w:jc w:val="both"/>
              <w:rPr>
                <w:sz w:val="20"/>
                <w:szCs w:val="20"/>
              </w:rPr>
            </w:pPr>
            <w:bookmarkStart w:id="83" w:name="_4kx3h1s" w:colFirst="0" w:colLast="0"/>
            <w:bookmarkEnd w:id="83"/>
            <w:r>
              <w:rPr>
                <w:b/>
                <w:i/>
              </w:rPr>
              <w:t>NB</w:t>
            </w:r>
            <w:r>
              <w:rPr>
                <w:i/>
              </w:rPr>
              <w:t xml:space="preserve"> : Les différentes parties d’un même dossier seront séparées par les intercalaires de couleur autre que le blanc, aussi bien dans l’original que dans les copies, de manière à faciliter son examen.</w:t>
            </w:r>
          </w:p>
          <w:p>
            <w:pPr>
              <w:pStyle w:val="3"/>
              <w:widowControl w:val="0"/>
              <w:jc w:val="both"/>
              <w:rPr>
                <w:sz w:val="20"/>
                <w:szCs w:val="20"/>
              </w:rPr>
            </w:pPr>
            <w:r>
              <w:rPr>
                <w:i/>
              </w:rPr>
              <w:t>Préciser le cas échéant, si le soumissionnaire doit joindre la version numérique de l’offre financière [en trois exemplaires dont un gardé par le Président de la Commission, un à remettre à la sous-commission d’analyse et le troisième réservé à l’ARMP</w:t>
            </w:r>
            <w:r>
              <w:t>].</w:t>
            </w:r>
            <w:r>
              <w:rPr>
                <w:sz w:val="22"/>
                <w:szCs w:val="22"/>
              </w:rPr>
              <w:t xml:space="preserve"> </w:t>
            </w:r>
            <w:r>
              <w:t>En cas de divergence entre les informations de l’offre physique et de l’offre numérique, celles de l’offre physique font foi.</w:t>
            </w:r>
          </w:p>
        </w:tc>
      </w:tr>
      <w:tr>
        <w:trPr>
          <w:cantSplit/>
          <w:trHeight w:val="934"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14.3.</w:t>
            </w:r>
          </w:p>
        </w:tc>
        <w:tc>
          <w:tcPr>
            <w:tcW w:w="8795" w:type="dxa"/>
            <w:shd w:val="clear" w:color="auto" w:fill="auto"/>
            <w:tcMar>
              <w:top w:w="0" w:type="dxa"/>
              <w:left w:w="0" w:type="dxa"/>
              <w:bottom w:w="0" w:type="dxa"/>
              <w:right w:w="0" w:type="dxa"/>
            </w:tcMar>
            <w:vAlign w:val="center"/>
          </w:tcPr>
          <w:p>
            <w:pPr>
              <w:pStyle w:val="3"/>
              <w:widowControl w:val="0"/>
              <w:jc w:val="both"/>
              <w:rPr>
                <w:b/>
                <w:i/>
                <w:smallCaps/>
              </w:rPr>
            </w:pPr>
            <w:r>
              <w:rPr>
                <w:b/>
                <w:i/>
              </w:rPr>
              <w:t>Impôts et taxes : Les</w:t>
            </w:r>
            <w:r>
              <w:rPr>
                <w:i/>
              </w:rPr>
              <w:t xml:space="preserve"> prix proposés doivent être libellés Toutes Taxes Comprises [Indiquer ici, le cas échéant, l’exclusion spécifique des taxes, impôts ou droits, qui peuvent être admise dans le prix de l’offre. Cette Clause doit être conforme à l’Article 39 du CCAP.]</w:t>
            </w:r>
          </w:p>
        </w:tc>
      </w:tr>
      <w:tr>
        <w:trPr>
          <w:cantSplit/>
          <w:trHeight w:val="430"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14.4.</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 xml:space="preserve">Les prix du marché </w:t>
            </w:r>
            <w:r>
              <w:rPr>
                <w:i/>
              </w:rPr>
              <w:t xml:space="preserve"> « ne seront pas » </w:t>
            </w:r>
            <w:r>
              <w:t>révisables.</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15.1.</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rPr>
                <w:i/>
              </w:rPr>
              <w:t>Dans le cadre de la présente consultation, la  monnaie est  monnaie locale uniquement FCFA</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15.2.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bookmarkStart w:id="84" w:name="_302dr9l" w:colFirst="0" w:colLast="0"/>
            <w:bookmarkEnd w:id="84"/>
            <w:r>
              <w:t>Le taux de change pour convertir l’offre du soumissionnaire en monnaie locale et pour convertir les futurs décomptes en monnaie étrangère, sera celui [</w:t>
            </w:r>
            <w:r>
              <w:rPr>
                <w:i/>
              </w:rPr>
              <w:t>à préciser : exemple celui de la BEAC trois jours ouvrables avant la date limite de dépôt des offres]</w:t>
            </w:r>
          </w:p>
        </w:tc>
      </w:tr>
      <w:tr>
        <w:trPr>
          <w:cantSplit/>
          <w:trHeight w:val="1306"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16.1.</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 xml:space="preserve"> </w:t>
            </w:r>
            <w:r>
              <w:rPr>
                <w:b/>
              </w:rPr>
              <w:t xml:space="preserve">Validité des offres </w:t>
            </w:r>
            <w:r>
              <w:t>:</w:t>
            </w:r>
          </w:p>
          <w:p>
            <w:pPr>
              <w:pStyle w:val="3"/>
              <w:widowControl w:val="0"/>
              <w:spacing w:line="360" w:lineRule="auto"/>
              <w:jc w:val="both"/>
              <w:rPr>
                <w:b/>
                <w:i/>
                <w:smallCaps/>
              </w:rPr>
            </w:pPr>
            <w:r>
              <w:t>La période de validité des offres est de 90</w:t>
            </w:r>
            <w:r>
              <w:rPr>
                <w:i/>
              </w:rPr>
              <w:t xml:space="preserve"> jours</w:t>
            </w:r>
            <w:r>
              <w:t xml:space="preserve"> à partir de la date limite de dépôt des offres.</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17.1.</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Le Montant du  cautionnement de soumission s’élève à 536 412</w:t>
            </w:r>
          </w:p>
        </w:tc>
      </w:tr>
      <w:tr>
        <w:trPr>
          <w:cantSplit/>
          <w:trHeight w:val="1260"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18.1.</w:t>
            </w:r>
          </w:p>
        </w:tc>
        <w:tc>
          <w:tcPr>
            <w:tcW w:w="8795" w:type="dxa"/>
            <w:shd w:val="clear" w:color="auto" w:fill="auto"/>
            <w:tcMar>
              <w:top w:w="0" w:type="dxa"/>
              <w:left w:w="0" w:type="dxa"/>
              <w:bottom w:w="0" w:type="dxa"/>
              <w:right w:w="0" w:type="dxa"/>
            </w:tcMar>
            <w:vAlign w:val="center"/>
          </w:tcPr>
          <w:p>
            <w:pPr>
              <w:pStyle w:val="3"/>
              <w:widowControl w:val="0"/>
              <w:tabs>
                <w:tab w:val="left" w:pos="9160"/>
              </w:tabs>
              <w:spacing w:line="360" w:lineRule="auto"/>
              <w:jc w:val="both"/>
              <w:rPr>
                <w:b/>
                <w:i/>
                <w:smallCaps/>
              </w:rPr>
            </w:pPr>
            <w:r>
              <w:t>Les offres seront évaluées sur la base d’un délai prévisionnel d’exécution des travaux compris entre 90 jours (03 mois)  au maximum. La méthode d’évaluation figure à l’article 32.2(e) du RGAO.</w:t>
            </w:r>
          </w:p>
        </w:tc>
      </w:tr>
      <w:tr>
        <w:trPr>
          <w:cantSplit/>
          <w:trHeight w:val="998"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18.3.</w:t>
            </w:r>
          </w:p>
        </w:tc>
        <w:tc>
          <w:tcPr>
            <w:tcW w:w="8795" w:type="dxa"/>
            <w:shd w:val="clear" w:color="auto" w:fill="auto"/>
            <w:tcMar>
              <w:top w:w="0" w:type="dxa"/>
              <w:left w:w="0" w:type="dxa"/>
              <w:bottom w:w="0" w:type="dxa"/>
              <w:right w:w="0" w:type="dxa"/>
            </w:tcMar>
            <w:vAlign w:val="center"/>
          </w:tcPr>
          <w:p>
            <w:pPr>
              <w:pStyle w:val="3"/>
              <w:widowControl w:val="0"/>
              <w:jc w:val="both"/>
              <w:rPr>
                <w:b/>
                <w:i/>
                <w:smallCaps/>
              </w:rPr>
            </w:pPr>
            <w:r>
              <w:t xml:space="preserve">Les variantes techniques sur la ou les parties des travaux spécifiés ci-dessous sont permises dans le cadre des Spécifications techniques </w:t>
            </w:r>
          </w:p>
        </w:tc>
      </w:tr>
      <w:tr>
        <w:trPr>
          <w:cantSplit/>
          <w:trHeight w:val="697"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19.1.</w:t>
            </w:r>
          </w:p>
        </w:tc>
        <w:tc>
          <w:tcPr>
            <w:tcW w:w="8795" w:type="dxa"/>
            <w:shd w:val="clear" w:color="auto" w:fill="auto"/>
            <w:tcMar>
              <w:top w:w="0" w:type="dxa"/>
              <w:left w:w="0" w:type="dxa"/>
              <w:bottom w:w="0" w:type="dxa"/>
              <w:right w:w="0" w:type="dxa"/>
            </w:tcMar>
            <w:vAlign w:val="center"/>
          </w:tcPr>
          <w:p>
            <w:pPr>
              <w:pStyle w:val="3"/>
              <w:widowControl w:val="0"/>
              <w:jc w:val="both"/>
              <w:rPr>
                <w:b/>
                <w:i/>
                <w:smallCaps/>
              </w:rPr>
            </w:pPr>
            <w:r>
              <w:t>La réunion préparatoire à l’établissement des offres se tiendra (</w:t>
            </w:r>
            <w:r>
              <w:rPr>
                <w:b/>
              </w:rPr>
              <w:t>sans objet)</w:t>
            </w:r>
            <w:r>
              <w:t xml:space="preserve"> </w:t>
            </w:r>
          </w:p>
          <w:p>
            <w:pPr>
              <w:pStyle w:val="3"/>
              <w:widowControl w:val="0"/>
              <w:jc w:val="both"/>
              <w:rPr>
                <w:b/>
                <w:i/>
                <w:smallCaps/>
              </w:rPr>
            </w:pPr>
          </w:p>
        </w:tc>
      </w:tr>
      <w:tr>
        <w:trPr>
          <w:cantSplit/>
          <w:trHeight w:val="1693"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p>
          <w:p>
            <w:pPr>
              <w:pStyle w:val="3"/>
              <w:widowControl w:val="0"/>
              <w:spacing w:line="360" w:lineRule="auto"/>
              <w:jc w:val="center"/>
              <w:rPr>
                <w:b/>
                <w:i/>
                <w:smallCaps/>
              </w:rPr>
            </w:pPr>
            <w:r>
              <w:t>20.</w:t>
            </w:r>
          </w:p>
          <w:p>
            <w:pPr>
              <w:pStyle w:val="3"/>
              <w:widowControl w:val="0"/>
              <w:spacing w:line="360" w:lineRule="auto"/>
              <w:jc w:val="center"/>
              <w:rPr>
                <w:b/>
                <w:i/>
                <w:smallCaps/>
              </w:rPr>
            </w:pPr>
          </w:p>
          <w:p>
            <w:pPr>
              <w:pStyle w:val="3"/>
              <w:widowControl w:val="0"/>
              <w:spacing w:line="360" w:lineRule="auto"/>
              <w:jc w:val="center"/>
              <w:rPr>
                <w:b/>
                <w:i/>
                <w:smallCaps/>
              </w:rPr>
            </w:pPr>
          </w:p>
        </w:tc>
        <w:tc>
          <w:tcPr>
            <w:tcW w:w="8795" w:type="dxa"/>
            <w:shd w:val="clear" w:color="auto" w:fill="auto"/>
            <w:tcMar>
              <w:top w:w="0" w:type="dxa"/>
              <w:left w:w="0" w:type="dxa"/>
              <w:bottom w:w="0" w:type="dxa"/>
              <w:right w:w="0" w:type="dxa"/>
            </w:tcMar>
            <w:vAlign w:val="center"/>
          </w:tcPr>
          <w:p>
            <w:pPr>
              <w:pStyle w:val="3"/>
              <w:widowControl w:val="0"/>
              <w:spacing w:before="6" w:line="360" w:lineRule="auto"/>
              <w:ind w:right="-16"/>
              <w:rPr>
                <w:b/>
                <w:i/>
                <w:smallCaps/>
              </w:rPr>
            </w:pPr>
            <w:r>
              <w:rPr>
                <w:b/>
              </w:rPr>
              <w:t>Soumission en ligne sans objet</w:t>
            </w:r>
          </w:p>
          <w:p>
            <w:pPr>
              <w:pStyle w:val="3"/>
              <w:widowControl w:val="0"/>
              <w:spacing w:line="360" w:lineRule="auto"/>
              <w:ind w:right="-20"/>
              <w:rPr>
                <w:b/>
                <w:i/>
                <w:sz w:val="20"/>
                <w:szCs w:val="20"/>
                <w:u w:val="single"/>
              </w:rPr>
            </w:pPr>
            <w:r>
              <w:rPr>
                <w:b/>
                <w:i/>
                <w:u w:val="single"/>
              </w:rPr>
              <w:t>Soumission hors ligne</w:t>
            </w:r>
          </w:p>
          <w:p>
            <w:pPr>
              <w:pStyle w:val="3"/>
              <w:widowControl w:val="0"/>
              <w:spacing w:before="11" w:line="360" w:lineRule="auto"/>
              <w:ind w:right="132"/>
              <w:jc w:val="both"/>
              <w:rPr>
                <w:b/>
                <w:i/>
                <w:color w:val="000000"/>
                <w:sz w:val="20"/>
                <w:szCs w:val="20"/>
              </w:rPr>
            </w:pPr>
            <w:r>
              <w:rPr>
                <w:i/>
                <w:color w:val="000000"/>
              </w:rPr>
              <w:t xml:space="preserve">Nombre de copies de l’offre qui doivent être remplies et deposées : </w:t>
            </w:r>
            <w:r>
              <w:rPr>
                <w:b/>
                <w:i/>
                <w:color w:val="000000"/>
              </w:rPr>
              <w:t>sept (07) exemplaires, dont un (01) Original et six (06) copies.</w:t>
            </w:r>
          </w:p>
        </w:tc>
      </w:tr>
      <w:tr>
        <w:trPr>
          <w:cantSplit/>
          <w:trHeight w:val="2090"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p>
          <w:p>
            <w:pPr>
              <w:pStyle w:val="3"/>
              <w:widowControl w:val="0"/>
              <w:spacing w:line="360" w:lineRule="auto"/>
              <w:jc w:val="center"/>
              <w:rPr>
                <w:b/>
                <w:i/>
                <w:smallCaps/>
              </w:rPr>
            </w:pPr>
            <w:r>
              <w:t>20.1.</w:t>
            </w:r>
          </w:p>
        </w:tc>
        <w:tc>
          <w:tcPr>
            <w:tcW w:w="8795" w:type="dxa"/>
            <w:shd w:val="clear" w:color="auto" w:fill="auto"/>
            <w:tcMar>
              <w:top w:w="0" w:type="dxa"/>
              <w:left w:w="0" w:type="dxa"/>
              <w:bottom w:w="0" w:type="dxa"/>
              <w:right w:w="0" w:type="dxa"/>
            </w:tcMar>
            <w:vAlign w:val="center"/>
          </w:tcPr>
          <w:p>
            <w:pPr>
              <w:pStyle w:val="3"/>
              <w:widowControl w:val="0"/>
              <w:spacing w:before="3" w:line="360" w:lineRule="auto"/>
              <w:rPr>
                <w:b/>
                <w:sz w:val="20"/>
                <w:szCs w:val="20"/>
              </w:rPr>
            </w:pPr>
            <w:r>
              <w:rPr>
                <w:b/>
              </w:rPr>
              <w:t>La date et l’heure limites de remise des offres sont les suivantes :</w:t>
            </w:r>
          </w:p>
          <w:p>
            <w:pPr>
              <w:pStyle w:val="3"/>
              <w:widowControl w:val="0"/>
              <w:spacing w:before="3" w:line="360" w:lineRule="auto"/>
              <w:rPr>
                <w:b/>
                <w:i/>
                <w:smallCaps/>
              </w:rPr>
            </w:pPr>
            <w:r>
              <w:t xml:space="preserve">Date : </w:t>
            </w:r>
            <w:r>
              <w:rPr>
                <w:lang w:val="fr-FR"/>
              </w:rPr>
              <w:t>10/06/2025</w:t>
            </w:r>
          </w:p>
          <w:p>
            <w:pPr>
              <w:pStyle w:val="3"/>
              <w:widowControl w:val="0"/>
              <w:spacing w:before="3" w:line="360" w:lineRule="auto"/>
              <w:rPr>
                <w:b/>
                <w:i/>
                <w:smallCaps/>
              </w:rPr>
            </w:pPr>
            <w:r>
              <w:t>Heure : 1</w:t>
            </w:r>
            <w:r>
              <w:rPr>
                <w:lang w:val="fr-FR"/>
              </w:rPr>
              <w:t xml:space="preserve">4 </w:t>
            </w:r>
            <w:r>
              <w:t xml:space="preserve">heures </w:t>
            </w:r>
          </w:p>
          <w:p>
            <w:pPr>
              <w:pStyle w:val="3"/>
              <w:widowControl w:val="0"/>
              <w:spacing w:before="3" w:line="360" w:lineRule="auto"/>
              <w:rPr>
                <w:b/>
                <w:i/>
                <w:smallCaps/>
              </w:rPr>
            </w:pPr>
            <w:r>
              <w:rPr>
                <w:i/>
              </w:rPr>
              <w:t>le fuseau horaire de référence est l’heure locale (GMT/UTC + 1) visible sur la page de soumission</w:t>
            </w:r>
            <w:r>
              <w:t>.</w:t>
            </w:r>
          </w:p>
        </w:tc>
      </w:tr>
      <w:tr>
        <w:trPr>
          <w:cantSplit/>
          <w:trHeight w:val="458" w:hRule="atLeast"/>
          <w:tblHeader/>
          <w:jc w:val="center"/>
        </w:trPr>
        <w:tc>
          <w:tcPr>
            <w:tcW w:w="1271" w:type="dxa"/>
            <w:vMerge w:val="restart"/>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p>
          <w:p>
            <w:pPr>
              <w:pStyle w:val="3"/>
              <w:widowControl w:val="0"/>
              <w:spacing w:line="360" w:lineRule="auto"/>
              <w:jc w:val="center"/>
              <w:rPr>
                <w:b/>
                <w:sz w:val="20"/>
                <w:szCs w:val="20"/>
              </w:rPr>
            </w:pPr>
          </w:p>
          <w:p>
            <w:pPr>
              <w:pStyle w:val="3"/>
              <w:widowControl w:val="0"/>
              <w:spacing w:line="360" w:lineRule="auto"/>
              <w:jc w:val="center"/>
              <w:rPr>
                <w:b/>
                <w:sz w:val="20"/>
                <w:szCs w:val="20"/>
              </w:rPr>
            </w:pPr>
            <w:r>
              <w:rPr>
                <w:b/>
              </w:rPr>
              <w:t>22.2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r>
              <w:rPr>
                <w:b/>
              </w:rPr>
              <w:t>D. DEPOT DES OFFRES</w:t>
            </w:r>
          </w:p>
        </w:tc>
      </w:tr>
      <w:tr>
        <w:trPr>
          <w:cantSplit/>
          <w:trHeight w:val="793" w:hRule="atLeast"/>
          <w:tblHeader/>
          <w:jc w:val="center"/>
        </w:trPr>
        <w:tc>
          <w:tcPr>
            <w:tcW w:w="1271" w:type="dxa"/>
            <w:vMerge w:val="continue"/>
            <w:shd w:val="clear" w:color="auto" w:fill="auto"/>
            <w:tcMar>
              <w:top w:w="0" w:type="dxa"/>
              <w:left w:w="0" w:type="dxa"/>
              <w:bottom w:w="0" w:type="dxa"/>
              <w:right w:w="0" w:type="dxa"/>
            </w:tcMar>
            <w:vAlign w:val="center"/>
          </w:tcPr>
          <w:p>
            <w:pPr>
              <w:pStyle w:val="3"/>
              <w:widowControl w:val="0"/>
              <w:spacing w:line="276" w:lineRule="auto"/>
              <w:rPr>
                <w:b/>
                <w:sz w:val="20"/>
                <w:szCs w:val="20"/>
              </w:rPr>
            </w:pPr>
          </w:p>
        </w:tc>
        <w:tc>
          <w:tcPr>
            <w:tcW w:w="8795" w:type="dxa"/>
            <w:shd w:val="clear" w:color="auto" w:fill="auto"/>
            <w:tcMar>
              <w:top w:w="0" w:type="dxa"/>
              <w:left w:w="0" w:type="dxa"/>
              <w:bottom w:w="0" w:type="dxa"/>
              <w:right w:w="0" w:type="dxa"/>
            </w:tcMar>
            <w:vAlign w:val="center"/>
          </w:tcPr>
          <w:p>
            <w:pPr>
              <w:pStyle w:val="3"/>
              <w:widowControl w:val="0"/>
              <w:spacing w:line="360" w:lineRule="auto"/>
              <w:rPr>
                <w:b/>
                <w:sz w:val="20"/>
                <w:szCs w:val="20"/>
              </w:rPr>
            </w:pPr>
            <w:r>
              <w:rPr>
                <w:b/>
              </w:rPr>
              <w:t>MODE DE SOUMISSION</w:t>
            </w:r>
          </w:p>
          <w:p>
            <w:pPr>
              <w:pStyle w:val="3"/>
              <w:widowControl w:val="0"/>
              <w:spacing w:line="360" w:lineRule="auto"/>
              <w:jc w:val="both"/>
              <w:rPr>
                <w:b/>
                <w:color w:val="ED7D31"/>
                <w:sz w:val="20"/>
                <w:szCs w:val="20"/>
              </w:rPr>
            </w:pPr>
            <w:r>
              <w:rPr>
                <w:b/>
              </w:rPr>
              <w:t>Le mode de soumission retenu pour cette consultation est hors ligne.</w:t>
            </w:r>
          </w:p>
        </w:tc>
      </w:tr>
      <w:tr>
        <w:trPr>
          <w:cantSplit/>
          <w:trHeight w:val="425"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p>
        </w:tc>
        <w:tc>
          <w:tcPr>
            <w:tcW w:w="8795" w:type="dxa"/>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r>
              <w:rPr>
                <w:b/>
              </w:rPr>
              <w:t>E. OUVERTURE DES PLIS ET EVALUATION DES OFFRES</w:t>
            </w:r>
          </w:p>
        </w:tc>
      </w:tr>
      <w:tr>
        <w:trPr>
          <w:cantSplit/>
          <w:trHeight w:val="368" w:hRule="atLeast"/>
          <w:tblHeader/>
          <w:jc w:val="center"/>
        </w:trPr>
        <w:tc>
          <w:tcPr>
            <w:tcW w:w="1271" w:type="dxa"/>
            <w:vMerge w:val="restart"/>
            <w:shd w:val="clear" w:color="auto" w:fill="auto"/>
            <w:tcMar>
              <w:top w:w="0" w:type="dxa"/>
              <w:left w:w="0" w:type="dxa"/>
              <w:bottom w:w="0" w:type="dxa"/>
              <w:right w:w="0" w:type="dxa"/>
            </w:tcMar>
            <w:vAlign w:val="center"/>
          </w:tcPr>
          <w:p>
            <w:pPr>
              <w:pStyle w:val="3"/>
              <w:widowControl w:val="0"/>
              <w:spacing w:line="360" w:lineRule="auto"/>
              <w:jc w:val="center"/>
              <w:rPr>
                <w:b/>
                <w:i/>
                <w:smallCaps/>
              </w:rPr>
            </w:pPr>
          </w:p>
          <w:p>
            <w:pPr>
              <w:pStyle w:val="3"/>
              <w:widowControl w:val="0"/>
              <w:spacing w:line="360" w:lineRule="auto"/>
              <w:jc w:val="center"/>
              <w:rPr>
                <w:b/>
                <w:i/>
                <w:smallCaps/>
              </w:rPr>
            </w:pPr>
            <w:r>
              <w:t>25.1</w:t>
            </w:r>
          </w:p>
        </w:tc>
        <w:tc>
          <w:tcPr>
            <w:tcW w:w="8795" w:type="dxa"/>
            <w:shd w:val="clear" w:color="auto" w:fill="auto"/>
            <w:tcMar>
              <w:top w:w="0" w:type="dxa"/>
              <w:left w:w="0" w:type="dxa"/>
              <w:bottom w:w="0" w:type="dxa"/>
              <w:right w:w="0" w:type="dxa"/>
            </w:tcMar>
            <w:vAlign w:val="center"/>
          </w:tcPr>
          <w:p>
            <w:pPr>
              <w:pStyle w:val="3"/>
              <w:widowControl w:val="0"/>
              <w:spacing w:line="360" w:lineRule="auto"/>
              <w:ind w:right="-20"/>
              <w:jc w:val="both"/>
              <w:rPr>
                <w:b/>
                <w:i/>
                <w:smallCaps/>
              </w:rPr>
            </w:pPr>
            <w:r>
              <w:t xml:space="preserve">L’ouverture </w:t>
            </w:r>
            <w:r>
              <w:rPr>
                <w:i/>
              </w:rPr>
              <w:t>des plis se fait en un temps et</w:t>
            </w:r>
            <w:r>
              <w:t xml:space="preserve"> aura lieu</w:t>
            </w:r>
            <w:bookmarkStart w:id="220" w:name="_GoBack"/>
            <w:r>
              <w:rPr>
                <w:b/>
                <w:bCs/>
              </w:rPr>
              <w:t xml:space="preserve"> le </w:t>
            </w:r>
            <w:r>
              <w:rPr>
                <w:b/>
                <w:bCs/>
                <w:lang w:val="fr-FR"/>
              </w:rPr>
              <w:t>10/06</w:t>
            </w:r>
            <w:r>
              <w:rPr>
                <w:b/>
                <w:bCs/>
              </w:rPr>
              <w:t xml:space="preserve"> </w:t>
            </w:r>
            <w:r>
              <w:rPr>
                <w:b/>
                <w:bCs/>
                <w:lang w:val="fr-FR"/>
              </w:rPr>
              <w:t>/2025</w:t>
            </w:r>
            <w:bookmarkEnd w:id="220"/>
            <w:r>
              <w:t>, exceptionnellement dans la salle des conférences de la Préfecture d’ Ebolowa</w:t>
            </w:r>
            <w:r>
              <w:rPr>
                <w:b/>
                <w:bCs/>
                <w:lang w:val="fr-FR"/>
              </w:rPr>
              <w:t xml:space="preserve"> 15</w:t>
            </w:r>
            <w:r>
              <w:rPr>
                <w:b/>
                <w:bCs/>
              </w:rPr>
              <w:t xml:space="preserve"> heures</w:t>
            </w:r>
            <w:r>
              <w:t xml:space="preserve"> par la Commission de Passation des Marchés</w:t>
            </w:r>
            <w:r>
              <w:rPr>
                <w:i/>
              </w:rPr>
              <w:t xml:space="preserve"> du Maître d’Ouvrage à partir de 14 Heures </w:t>
            </w:r>
          </w:p>
          <w:p>
            <w:pPr>
              <w:pStyle w:val="3"/>
              <w:widowControl w:val="0"/>
              <w:spacing w:line="360" w:lineRule="auto"/>
              <w:ind w:right="-20"/>
              <w:jc w:val="both"/>
              <w:rPr>
                <w:b/>
                <w:i/>
                <w:smallCaps/>
              </w:rPr>
            </w:pPr>
            <w:r>
              <w:t>Seuls les soumissionnaires peuvent assister à cette séance d'ouverture ou s'y faire représenter par une seule personne de leur choix dûment mandatée même en cas de groupement d’entreprises.</w:t>
            </w:r>
          </w:p>
          <w:p>
            <w:pPr>
              <w:pStyle w:val="3"/>
              <w:widowControl w:val="0"/>
              <w:spacing w:line="360" w:lineRule="auto"/>
              <w:ind w:right="81"/>
              <w:jc w:val="both"/>
              <w:rPr>
                <w:b/>
                <w:sz w:val="20"/>
                <w:szCs w:val="20"/>
              </w:rPr>
            </w:pPr>
            <w:r>
              <w:rPr>
                <w:b/>
              </w:rPr>
              <w:t>Sous peine de rejet, les pièces du dossier administratif requises doivent être produites en originaux ou en copies certifiées conformes par le service émetteur ou l’Autorité Administrative compétente</w:t>
            </w:r>
            <w:r>
              <w:rPr>
                <w:b/>
                <w:strike/>
              </w:rPr>
              <w:t>,</w:t>
            </w:r>
            <w:r>
              <w:rPr>
                <w:b/>
              </w:rPr>
              <w:t xml:space="preserv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d’Offres.</w:t>
            </w:r>
          </w:p>
          <w:p>
            <w:pPr>
              <w:pStyle w:val="3"/>
              <w:widowControl w:val="0"/>
              <w:tabs>
                <w:tab w:val="left" w:pos="3717"/>
              </w:tabs>
              <w:spacing w:line="360" w:lineRule="auto"/>
              <w:jc w:val="both"/>
              <w:rPr>
                <w:b/>
                <w:sz w:val="8"/>
                <w:szCs w:val="8"/>
              </w:rPr>
            </w:pPr>
          </w:p>
          <w:p>
            <w:pPr>
              <w:pStyle w:val="3"/>
              <w:widowControl w:val="0"/>
              <w:spacing w:line="360" w:lineRule="auto"/>
              <w:ind w:right="81"/>
              <w:jc w:val="both"/>
              <w:rPr>
                <w:sz w:val="20"/>
                <w:szCs w:val="20"/>
              </w:rPr>
            </w:pPr>
            <w:r>
              <w:t>En cas d’absence ou de non-conformité d’une pièce du dossier administratif lors de l’ouverture des plis, un délai de quarante-huit heures est accordé aux soumissionnaires concernés pour produire ou remplacer la pièce en question.</w:t>
            </w:r>
          </w:p>
          <w:p>
            <w:pPr>
              <w:pStyle w:val="3"/>
              <w:widowControl w:val="0"/>
              <w:spacing w:line="360" w:lineRule="auto"/>
              <w:ind w:right="81"/>
              <w:jc w:val="both"/>
              <w:rPr>
                <w:sz w:val="20"/>
                <w:szCs w:val="20"/>
              </w:rPr>
            </w:pPr>
            <w:r>
              <w:t>Est déclarée irrecevable et rejetée par la Commission de Passation des Marchés :</w:t>
            </w:r>
          </w:p>
          <w:p>
            <w:pPr>
              <w:pStyle w:val="3"/>
              <w:widowControl w:val="0"/>
              <w:numPr>
                <w:ilvl w:val="0"/>
                <w:numId w:val="32"/>
              </w:numPr>
              <w:spacing w:line="360" w:lineRule="auto"/>
              <w:ind w:right="81"/>
              <w:jc w:val="both"/>
              <w:rPr>
                <w:color w:val="000000"/>
              </w:rPr>
            </w:pPr>
            <w:r>
              <w:rPr>
                <w:color w:val="000000"/>
              </w:rPr>
              <w:t xml:space="preserve">Toute offre produite en nombre insuffisant ou uniquement en copies pour la soumission physique, </w:t>
            </w:r>
          </w:p>
          <w:p>
            <w:pPr>
              <w:pStyle w:val="3"/>
              <w:widowControl w:val="0"/>
              <w:numPr>
                <w:ilvl w:val="0"/>
                <w:numId w:val="32"/>
              </w:numPr>
              <w:spacing w:line="360" w:lineRule="auto"/>
              <w:ind w:right="81"/>
              <w:jc w:val="both"/>
              <w:rPr>
                <w:color w:val="000000"/>
              </w:rPr>
            </w:pPr>
            <w:r>
              <w:rPr>
                <w:color w:val="000000"/>
              </w:rPr>
              <w:t xml:space="preserve"> Toute offre </w:t>
            </w:r>
            <w:r>
              <w:rPr>
                <w:color w:val="ED7D31"/>
              </w:rPr>
              <w:t>en noir sur blanc</w:t>
            </w:r>
            <w:r>
              <w:rPr>
                <w:color w:val="000000"/>
              </w:rPr>
              <w:t xml:space="preserve"> ; </w:t>
            </w:r>
          </w:p>
          <w:p>
            <w:pPr>
              <w:pStyle w:val="3"/>
              <w:widowControl w:val="0"/>
              <w:numPr>
                <w:ilvl w:val="0"/>
                <w:numId w:val="32"/>
              </w:numPr>
              <w:spacing w:line="360" w:lineRule="auto"/>
              <w:ind w:right="81"/>
              <w:jc w:val="both"/>
              <w:rPr>
                <w:color w:val="000000"/>
              </w:rPr>
            </w:pPr>
            <w:r>
              <w:rPr>
                <w:color w:val="000000"/>
              </w:rPr>
              <w:t xml:space="preserve">- les plis portant les indications sur l’identité des soumissionnaires, </w:t>
            </w:r>
          </w:p>
          <w:p>
            <w:pPr>
              <w:pStyle w:val="3"/>
              <w:widowControl w:val="0"/>
              <w:numPr>
                <w:ilvl w:val="0"/>
                <w:numId w:val="32"/>
              </w:numPr>
              <w:spacing w:line="360" w:lineRule="auto"/>
              <w:ind w:right="81"/>
              <w:jc w:val="both"/>
              <w:rPr>
                <w:color w:val="000000"/>
              </w:rPr>
            </w:pPr>
            <w:r>
              <w:rPr>
                <w:color w:val="000000"/>
              </w:rPr>
              <w:t xml:space="preserve">  les plis parvenus postérieurement aux dates et heures limites de dépôt. </w:t>
            </w:r>
          </w:p>
          <w:p>
            <w:pPr>
              <w:pStyle w:val="3"/>
              <w:widowControl w:val="0"/>
              <w:numPr>
                <w:ilvl w:val="0"/>
                <w:numId w:val="32"/>
              </w:numPr>
              <w:spacing w:line="360" w:lineRule="auto"/>
              <w:ind w:right="81"/>
              <w:jc w:val="both"/>
              <w:rPr>
                <w:color w:val="000000"/>
              </w:rPr>
            </w:pPr>
            <w:r>
              <w:rPr>
                <w:color w:val="000000"/>
              </w:rPr>
              <w:t xml:space="preserve"> les plis sans indication de l’identité de l’Appel d’Offres ;</w:t>
            </w:r>
          </w:p>
          <w:p>
            <w:pPr>
              <w:pStyle w:val="3"/>
              <w:widowControl w:val="0"/>
              <w:numPr>
                <w:ilvl w:val="0"/>
                <w:numId w:val="32"/>
              </w:numPr>
              <w:spacing w:line="360" w:lineRule="auto"/>
              <w:ind w:right="81"/>
              <w:jc w:val="both"/>
              <w:rPr>
                <w:color w:val="000000"/>
              </w:rPr>
            </w:pPr>
            <w:r>
              <w:rPr>
                <w:color w:val="000000"/>
              </w:rPr>
              <w:t>les plis non-conformes au mode de soumission ;</w:t>
            </w:r>
          </w:p>
          <w:p>
            <w:pPr>
              <w:pStyle w:val="3"/>
              <w:widowControl w:val="0"/>
              <w:numPr>
                <w:ilvl w:val="0"/>
                <w:numId w:val="32"/>
              </w:numPr>
              <w:spacing w:line="360" w:lineRule="auto"/>
              <w:ind w:right="81"/>
              <w:jc w:val="both"/>
              <w:rPr>
                <w:color w:val="000000"/>
              </w:rPr>
            </w:pPr>
            <w:r>
              <w:rPr>
                <w:color w:val="000000"/>
              </w:rPr>
              <w:t>Toute offre non conforme aux prescriptions du DAO,</w:t>
            </w:r>
          </w:p>
          <w:p>
            <w:pPr>
              <w:pStyle w:val="3"/>
              <w:widowControl w:val="0"/>
              <w:numPr>
                <w:ilvl w:val="0"/>
                <w:numId w:val="32"/>
              </w:numPr>
              <w:spacing w:line="360" w:lineRule="auto"/>
              <w:ind w:right="81"/>
              <w:jc w:val="both"/>
              <w:rPr>
                <w:color w:val="000000"/>
              </w:rPr>
            </w:pPr>
            <w:r>
              <w:rPr>
                <w:color w:val="00000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pPr>
              <w:pStyle w:val="3"/>
              <w:widowControl w:val="0"/>
              <w:numPr>
                <w:ilvl w:val="0"/>
                <w:numId w:val="32"/>
              </w:numPr>
              <w:spacing w:line="360" w:lineRule="auto"/>
              <w:ind w:right="81"/>
              <w:jc w:val="both"/>
              <w:rPr>
                <w:color w:val="000000"/>
                <w:sz w:val="22"/>
                <w:szCs w:val="22"/>
              </w:rPr>
            </w:pPr>
            <w:r>
              <w:rPr>
                <w:color w:val="000000"/>
                <w:sz w:val="22"/>
                <w:szCs w:val="22"/>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pPr>
              <w:pStyle w:val="3"/>
              <w:widowControl w:val="0"/>
              <w:numPr>
                <w:ilvl w:val="0"/>
                <w:numId w:val="32"/>
              </w:numPr>
              <w:spacing w:line="360" w:lineRule="auto"/>
              <w:jc w:val="both"/>
              <w:rPr>
                <w:color w:val="000000"/>
                <w:sz w:val="22"/>
                <w:szCs w:val="22"/>
              </w:rPr>
            </w:pPr>
            <w:r>
              <w:rPr>
                <w:color w:val="000000"/>
                <w:sz w:val="22"/>
                <w:szCs w:val="22"/>
              </w:rPr>
              <w:t>La Commission de Passation des Marchés établira un procès-verbal de la séance d’ouverture des plis, dont une copie sera remise à tous les soumissionnaires.</w:t>
            </w:r>
          </w:p>
        </w:tc>
      </w:tr>
      <w:tr>
        <w:trPr>
          <w:cantSplit/>
          <w:trHeight w:val="848" w:hRule="atLeast"/>
          <w:tblHeader/>
          <w:jc w:val="center"/>
        </w:trPr>
        <w:tc>
          <w:tcPr>
            <w:tcW w:w="1271" w:type="dxa"/>
            <w:vMerge w:val="continue"/>
            <w:shd w:val="clear" w:color="auto" w:fill="auto"/>
            <w:tcMar>
              <w:top w:w="0" w:type="dxa"/>
              <w:left w:w="0" w:type="dxa"/>
              <w:bottom w:w="0" w:type="dxa"/>
              <w:right w:w="0" w:type="dxa"/>
            </w:tcMar>
            <w:vAlign w:val="center"/>
          </w:tcPr>
          <w:p>
            <w:pPr>
              <w:pStyle w:val="3"/>
              <w:widowControl w:val="0"/>
              <w:spacing w:line="276" w:lineRule="auto"/>
              <w:rPr>
                <w:color w:val="000000"/>
                <w:sz w:val="22"/>
                <w:szCs w:val="22"/>
              </w:rPr>
            </w:pPr>
          </w:p>
        </w:tc>
        <w:tc>
          <w:tcPr>
            <w:tcW w:w="8795" w:type="dxa"/>
            <w:shd w:val="clear" w:color="auto" w:fill="auto"/>
            <w:tcMar>
              <w:top w:w="0" w:type="dxa"/>
              <w:left w:w="0" w:type="dxa"/>
              <w:bottom w:w="0" w:type="dxa"/>
              <w:right w:w="0" w:type="dxa"/>
            </w:tcMar>
            <w:vAlign w:val="center"/>
          </w:tcPr>
          <w:p>
            <w:pPr>
              <w:pStyle w:val="3"/>
              <w:widowControl w:val="0"/>
              <w:jc w:val="both"/>
              <w:rPr>
                <w:i/>
                <w:sz w:val="20"/>
                <w:szCs w:val="20"/>
              </w:rPr>
            </w:pPr>
            <w:r>
              <w:rPr>
                <w:i/>
              </w:rPr>
              <w:t>L’ouverture de la séance de dépouillement doit se faire au plus tard une heure après celle limite de réception des offres fixée dans le Dossier d’Appel d’Offres.</w:t>
            </w:r>
          </w:p>
        </w:tc>
      </w:tr>
      <w:tr>
        <w:trPr>
          <w:cantSplit/>
          <w:trHeight w:val="1786"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29</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z w:val="20"/>
                <w:szCs w:val="20"/>
              </w:rPr>
            </w:pPr>
            <w:r>
              <w:rPr>
                <w:i/>
              </w:rPr>
              <w:t>L’évaluation des offres se fera sur la base des critères ci-après</w:t>
            </w:r>
            <w:r>
              <w:rPr>
                <w:b/>
                <w:i/>
              </w:rPr>
              <w:t xml:space="preserve"> </w:t>
            </w:r>
            <w:r>
              <w:rPr>
                <w:i/>
                <w:color w:val="000000"/>
              </w:rPr>
              <w:t>pour chaque lot retenu par le soumissionnaire : Etant entendu qu’un critère ne peut être à la fois éliminatoire et essentiel]. </w:t>
            </w:r>
            <w:r>
              <w:rPr>
                <w:i/>
              </w:rPr>
              <w:t>:</w:t>
            </w:r>
          </w:p>
          <w:p>
            <w:pPr>
              <w:pStyle w:val="3"/>
              <w:widowControl w:val="0"/>
              <w:numPr>
                <w:ilvl w:val="0"/>
                <w:numId w:val="6"/>
              </w:numPr>
              <w:spacing w:line="360" w:lineRule="auto"/>
              <w:ind w:left="714" w:right="130" w:hanging="357"/>
              <w:jc w:val="both"/>
              <w:rPr>
                <w:i/>
                <w:color w:val="000000"/>
              </w:rPr>
            </w:pPr>
            <w:r>
              <w:rPr>
                <w:i/>
                <w:color w:val="000000"/>
              </w:rPr>
              <w:t xml:space="preserve">Les </w:t>
            </w:r>
            <w:r>
              <w:rPr>
                <w:b/>
                <w:i/>
                <w:color w:val="000000"/>
              </w:rPr>
              <w:t>critères éliminatoires</w:t>
            </w:r>
            <w:r>
              <w:rPr>
                <w:i/>
                <w:color w:val="000000"/>
              </w:rPr>
              <w:t xml:space="preserve"> fixant les conditions minimales à remplir pour être admis à l’évaluation selon les critères essentiels. Ils ne doivent pas faire l’objet de notation. Le non-respect de ces critères entraîne le rejet de l’offre du soumissionnaire.]</w:t>
            </w:r>
          </w:p>
          <w:p>
            <w:pPr>
              <w:pStyle w:val="3"/>
              <w:widowControl w:val="0"/>
              <w:spacing w:line="360" w:lineRule="auto"/>
              <w:ind w:left="114" w:right="130" w:hanging="114"/>
              <w:jc w:val="both"/>
              <w:rPr>
                <w:sz w:val="20"/>
                <w:szCs w:val="20"/>
              </w:rPr>
            </w:pPr>
            <w:r>
              <w:t>Il s'agit notamment :</w:t>
            </w:r>
          </w:p>
          <w:p>
            <w:pPr>
              <w:pStyle w:val="3"/>
              <w:widowControl w:val="0"/>
              <w:numPr>
                <w:ilvl w:val="0"/>
                <w:numId w:val="6"/>
              </w:numPr>
              <w:spacing w:line="360" w:lineRule="auto"/>
              <w:ind w:right="130"/>
              <w:jc w:val="both"/>
              <w:rPr>
                <w:color w:val="000000"/>
              </w:rPr>
            </w:pPr>
            <w:r>
              <w:rPr>
                <w:color w:val="000000"/>
              </w:rPr>
              <w:t>de l’absence du  cautionnement de soumission à l’ouverture des plis;</w:t>
            </w:r>
          </w:p>
          <w:p>
            <w:pPr>
              <w:pStyle w:val="3"/>
              <w:widowControl w:val="0"/>
              <w:numPr>
                <w:ilvl w:val="0"/>
                <w:numId w:val="6"/>
              </w:numPr>
              <w:spacing w:line="360" w:lineRule="auto"/>
              <w:ind w:right="130"/>
              <w:jc w:val="both"/>
              <w:rPr>
                <w:color w:val="000000"/>
              </w:rPr>
            </w:pPr>
            <w:r>
              <w:rPr>
                <w:color w:val="000000"/>
              </w:rPr>
              <w:t xml:space="preserve">de la non -production au-delà du délai de 48 h après l’ouverture des plis, d’une pièce du dossier administratif jugée non conforme ou absente ; </w:t>
            </w:r>
          </w:p>
          <w:p>
            <w:pPr>
              <w:pStyle w:val="3"/>
              <w:widowControl w:val="0"/>
              <w:numPr>
                <w:ilvl w:val="0"/>
                <w:numId w:val="6"/>
              </w:numPr>
              <w:spacing w:line="360" w:lineRule="auto"/>
              <w:ind w:right="130"/>
              <w:jc w:val="both"/>
              <w:rPr>
                <w:color w:val="000000"/>
              </w:rPr>
            </w:pPr>
            <w:r>
              <w:rPr>
                <w:color w:val="000000"/>
              </w:rPr>
              <w:t>des fausses déclarations, manœuvres frauduleuses ou des pièces falsifiées  ;</w:t>
            </w:r>
          </w:p>
          <w:p>
            <w:pPr>
              <w:pStyle w:val="3"/>
              <w:widowControl w:val="0"/>
              <w:numPr>
                <w:ilvl w:val="0"/>
                <w:numId w:val="6"/>
              </w:numPr>
              <w:spacing w:line="360" w:lineRule="auto"/>
              <w:ind w:right="130"/>
              <w:jc w:val="both"/>
              <w:rPr>
                <w:color w:val="000000"/>
              </w:rPr>
            </w:pPr>
            <w:r>
              <w:rPr>
                <w:color w:val="000000"/>
              </w:rPr>
              <w:t>du non-respect de 70% critères essentiels (70% renvoyant au seuil de qualification des offres techniques) ;</w:t>
            </w:r>
          </w:p>
          <w:p>
            <w:pPr>
              <w:pStyle w:val="3"/>
              <w:widowControl w:val="0"/>
              <w:numPr>
                <w:ilvl w:val="0"/>
                <w:numId w:val="6"/>
              </w:numPr>
              <w:spacing w:line="360" w:lineRule="auto"/>
              <w:ind w:right="130"/>
              <w:jc w:val="both"/>
              <w:rPr>
                <w:i/>
                <w:color w:val="000000"/>
              </w:rPr>
            </w:pPr>
            <w:r>
              <w:rPr>
                <w:b/>
                <w:i/>
                <w:color w:val="000000"/>
              </w:rPr>
              <w:t>de l’absence de la déclaration sur l’honneur de non abandon des  chantiers au cours des trois dernières années</w:t>
            </w:r>
            <w:r>
              <w:rPr>
                <w:i/>
                <w:color w:val="000000"/>
              </w:rPr>
              <w:t> ;</w:t>
            </w:r>
          </w:p>
          <w:p>
            <w:pPr>
              <w:pStyle w:val="3"/>
              <w:widowControl w:val="0"/>
              <w:numPr>
                <w:ilvl w:val="0"/>
                <w:numId w:val="6"/>
              </w:numPr>
              <w:spacing w:line="360" w:lineRule="auto"/>
              <w:ind w:right="132"/>
              <w:jc w:val="both"/>
              <w:rPr>
                <w:b/>
                <w:i/>
                <w:color w:val="000000"/>
              </w:rPr>
            </w:pPr>
            <w:r>
              <w:rPr>
                <w:b/>
                <w:i/>
                <w:color w:val="000000"/>
              </w:rPr>
              <w:t>du non-respect du format de fichier des offres ;</w:t>
            </w:r>
          </w:p>
          <w:p>
            <w:pPr>
              <w:pStyle w:val="3"/>
              <w:widowControl w:val="0"/>
              <w:numPr>
                <w:ilvl w:val="0"/>
                <w:numId w:val="6"/>
              </w:numPr>
              <w:spacing w:line="360" w:lineRule="auto"/>
              <w:ind w:right="132"/>
              <w:jc w:val="both"/>
              <w:rPr>
                <w:b/>
                <w:i/>
                <w:color w:val="000000"/>
              </w:rPr>
            </w:pPr>
            <w:r>
              <w:rPr>
                <w:b/>
                <w:i/>
                <w:color w:val="000000"/>
              </w:rPr>
              <w:t>l’absence d’un prix unitaire quantifié dans l’Offre financière ;</w:t>
            </w:r>
          </w:p>
          <w:p>
            <w:pPr>
              <w:pStyle w:val="3"/>
              <w:widowControl w:val="0"/>
              <w:numPr>
                <w:ilvl w:val="0"/>
                <w:numId w:val="6"/>
              </w:numPr>
              <w:spacing w:line="360" w:lineRule="auto"/>
              <w:ind w:right="132"/>
              <w:jc w:val="both"/>
              <w:rPr>
                <w:color w:val="000000"/>
              </w:rPr>
            </w:pPr>
            <w:r>
              <w:rPr>
                <w:color w:val="000000"/>
              </w:rPr>
              <w:t>de l’absence de prospectus accompagné des fiches techniques du fabricant, le cas échéant ;</w:t>
            </w:r>
          </w:p>
          <w:p>
            <w:pPr>
              <w:pStyle w:val="3"/>
              <w:widowControl w:val="0"/>
              <w:numPr>
                <w:ilvl w:val="0"/>
                <w:numId w:val="6"/>
              </w:numPr>
              <w:spacing w:line="360" w:lineRule="auto"/>
              <w:ind w:right="132"/>
              <w:jc w:val="both"/>
              <w:rPr>
                <w:color w:val="000000"/>
              </w:rPr>
            </w:pPr>
            <w:r>
              <w:rPr>
                <w:color w:val="000000"/>
              </w:rPr>
              <w:t>de l’absence de l’agrément ou de l’autorisation du fabricant, le cas échéant ;</w:t>
            </w:r>
          </w:p>
          <w:p>
            <w:pPr>
              <w:pStyle w:val="3"/>
              <w:widowControl w:val="0"/>
              <w:numPr>
                <w:ilvl w:val="0"/>
                <w:numId w:val="6"/>
              </w:numPr>
              <w:spacing w:line="360" w:lineRule="auto"/>
              <w:ind w:right="132"/>
              <w:jc w:val="both"/>
              <w:rPr>
                <w:color w:val="000000"/>
              </w:rPr>
            </w:pPr>
            <w:r>
              <w:rPr>
                <w:color w:val="000000"/>
              </w:rPr>
              <w:t xml:space="preserve">de l’absence de possession d’un matériel minimum (liste à préciser par le maître d’Ouvrage et à déterminer en propre ou en location) ;  </w:t>
            </w:r>
          </w:p>
          <w:p>
            <w:pPr>
              <w:pStyle w:val="3"/>
              <w:numPr>
                <w:ilvl w:val="0"/>
                <w:numId w:val="6"/>
              </w:numPr>
              <w:spacing w:line="360" w:lineRule="auto"/>
              <w:jc w:val="both"/>
              <w:rPr>
                <w:sz w:val="20"/>
                <w:szCs w:val="20"/>
              </w:rPr>
            </w:pPr>
            <w:r>
              <w:t>de l’absence de la charte d’Intégrité ;</w:t>
            </w:r>
          </w:p>
          <w:p>
            <w:pPr>
              <w:pStyle w:val="3"/>
              <w:numPr>
                <w:ilvl w:val="0"/>
                <w:numId w:val="6"/>
              </w:numPr>
              <w:spacing w:line="360" w:lineRule="auto"/>
              <w:jc w:val="both"/>
              <w:rPr>
                <w:sz w:val="20"/>
                <w:szCs w:val="20"/>
              </w:rPr>
            </w:pPr>
            <w:r>
              <w:t>de l’absence de la Déclaration d’engagement au respect des clauses sociales et environnementales.</w:t>
            </w:r>
          </w:p>
          <w:p>
            <w:pPr>
              <w:pStyle w:val="3"/>
              <w:widowControl w:val="0"/>
              <w:spacing w:line="360" w:lineRule="auto"/>
              <w:ind w:right="132"/>
              <w:jc w:val="both"/>
              <w:rPr>
                <w:b/>
                <w:i/>
                <w:smallCaps/>
              </w:rPr>
            </w:pPr>
            <w:r>
              <w:rPr>
                <w:b/>
              </w:rPr>
              <w:t>NB</w:t>
            </w:r>
            <w:r>
              <w:t> : En fonction de la spécificité de la prestation, d’autres critères pertinents pourront être ajouté lors de l’élaboration des DAO.</w:t>
            </w:r>
          </w:p>
          <w:p>
            <w:pPr>
              <w:pStyle w:val="3"/>
              <w:widowControl w:val="0"/>
              <w:numPr>
                <w:ilvl w:val="0"/>
                <w:numId w:val="6"/>
              </w:numPr>
              <w:spacing w:line="360" w:lineRule="auto"/>
              <w:ind w:right="132"/>
              <w:jc w:val="both"/>
              <w:rPr>
                <w:i/>
                <w:color w:val="000000"/>
              </w:rPr>
            </w:pPr>
            <w:r>
              <w:rPr>
                <w:i/>
                <w:color w:val="000000"/>
              </w:rPr>
              <w:t xml:space="preserve">Les </w:t>
            </w:r>
            <w:r>
              <w:rPr>
                <w:b/>
                <w:i/>
                <w:color w:val="000000"/>
              </w:rPr>
              <w:t>critères dits essentiels</w:t>
            </w:r>
            <w:r>
              <w:rPr>
                <w:i/>
                <w:color w:val="000000"/>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pPr>
              <w:pStyle w:val="3"/>
              <w:widowControl w:val="0"/>
              <w:ind w:right="132"/>
              <w:jc w:val="both"/>
              <w:rPr>
                <w:i/>
                <w:sz w:val="20"/>
                <w:szCs w:val="20"/>
              </w:rPr>
            </w:pPr>
            <w:r>
              <w:rPr>
                <w:i/>
              </w:rPr>
              <w:t>Il convient de préciser formellement les modalités de validation d'un critère à partir du nombre de sous-critères respectés.]</w:t>
            </w:r>
          </w:p>
          <w:p>
            <w:pPr>
              <w:pStyle w:val="3"/>
              <w:widowControl w:val="0"/>
              <w:spacing w:line="360" w:lineRule="auto"/>
              <w:ind w:left="114" w:right="132"/>
              <w:jc w:val="both"/>
              <w:rPr>
                <w:b/>
                <w:i/>
                <w:smallCaps/>
              </w:rPr>
            </w:pPr>
            <w:r>
              <w:t xml:space="preserve">Les critères essentiels à la qualification des soumissionnaires porteront à titre indicatif sur </w:t>
            </w:r>
          </w:p>
          <w:tbl>
            <w:tblPr>
              <w:tblStyle w:val="28"/>
              <w:tblW w:w="8675" w:type="dxa"/>
              <w:tblInd w:w="114" w:type="dxa"/>
              <w:tblLayout w:type="fixed"/>
              <w:tblCellMar>
                <w:top w:w="0" w:type="dxa"/>
                <w:left w:w="0" w:type="dxa"/>
                <w:bottom w:w="0" w:type="dxa"/>
                <w:right w:w="0" w:type="dxa"/>
              </w:tblCellMar>
            </w:tblPr>
            <w:tblGrid>
              <w:gridCol w:w="8675"/>
            </w:tblGrid>
            <w:tr>
              <w:tblPrEx>
                <w:tblLayout w:type="fixed"/>
              </w:tblPrEx>
              <w:trPr>
                <w:cantSplit/>
                <w:trHeight w:val="1929" w:hRule="atLeast"/>
                <w:tblHeader/>
              </w:trPr>
              <w:tc>
                <w:tcPr>
                  <w:tcW w:w="8675" w:type="dxa"/>
                  <w:shd w:val="clear" w:color="auto" w:fill="auto"/>
                  <w:tcMar>
                    <w:top w:w="0" w:type="dxa"/>
                    <w:left w:w="0" w:type="dxa"/>
                    <w:bottom w:w="0" w:type="dxa"/>
                    <w:right w:w="0" w:type="dxa"/>
                  </w:tcMar>
                </w:tcPr>
                <w:p>
                  <w:pPr>
                    <w:pStyle w:val="3"/>
                    <w:widowControl w:val="0"/>
                    <w:numPr>
                      <w:ilvl w:val="0"/>
                      <w:numId w:val="8"/>
                    </w:numPr>
                    <w:spacing w:line="360" w:lineRule="auto"/>
                    <w:ind w:left="720" w:right="132" w:hanging="360"/>
                    <w:jc w:val="both"/>
                    <w:rPr>
                      <w:color w:val="000000"/>
                    </w:rPr>
                  </w:pPr>
                  <w:r>
                    <w:rPr>
                      <w:color w:val="000000"/>
                    </w:rPr>
                    <w:t>la présentation de l’offre ;</w:t>
                  </w:r>
                </w:p>
                <w:p>
                  <w:pPr>
                    <w:pStyle w:val="3"/>
                    <w:widowControl w:val="0"/>
                    <w:numPr>
                      <w:ilvl w:val="0"/>
                      <w:numId w:val="8"/>
                    </w:numPr>
                    <w:spacing w:line="360" w:lineRule="auto"/>
                    <w:ind w:left="720" w:right="132" w:hanging="360"/>
                    <w:jc w:val="both"/>
                    <w:rPr>
                      <w:color w:val="000000"/>
                    </w:rPr>
                  </w:pPr>
                  <w:r>
                    <w:rPr>
                      <w:color w:val="000000"/>
                    </w:rPr>
                    <w:t>les références du soumissionnaire ;</w:t>
                  </w:r>
                </w:p>
                <w:p>
                  <w:pPr>
                    <w:pStyle w:val="3"/>
                    <w:numPr>
                      <w:ilvl w:val="0"/>
                      <w:numId w:val="8"/>
                    </w:numPr>
                    <w:spacing w:line="360" w:lineRule="auto"/>
                    <w:ind w:left="720" w:right="132" w:hanging="360"/>
                    <w:jc w:val="both"/>
                    <w:rPr>
                      <w:color w:val="000000"/>
                    </w:rPr>
                  </w:pPr>
                  <w:r>
                    <w:rPr>
                      <w:color w:val="000000"/>
                    </w:rPr>
                    <w:t>le service après-vente (disponibilité des pièces de rechange, atelier de réparation, personnel technique), le cas échéant ;</w:t>
                  </w:r>
                </w:p>
                <w:p>
                  <w:pPr>
                    <w:pStyle w:val="3"/>
                    <w:widowControl w:val="0"/>
                    <w:numPr>
                      <w:ilvl w:val="0"/>
                      <w:numId w:val="8"/>
                    </w:numPr>
                    <w:spacing w:line="360" w:lineRule="auto"/>
                    <w:ind w:left="720" w:right="132" w:hanging="360"/>
                    <w:jc w:val="both"/>
                    <w:rPr>
                      <w:color w:val="000000"/>
                    </w:rPr>
                  </w:pPr>
                  <w:r>
                    <w:rPr>
                      <w:color w:val="000000"/>
                    </w:rPr>
                    <w:t>la capacité financière (l’accès à une ligne de crédit ou autres ressources  financières, le chiffre d’affaires, attestation de solvabilité financière).</w:t>
                  </w:r>
                </w:p>
                <w:p>
                  <w:pPr>
                    <w:pStyle w:val="3"/>
                    <w:widowControl w:val="0"/>
                    <w:numPr>
                      <w:ilvl w:val="0"/>
                      <w:numId w:val="8"/>
                    </w:numPr>
                    <w:spacing w:line="360" w:lineRule="auto"/>
                    <w:ind w:left="720" w:right="132" w:hanging="360"/>
                    <w:jc w:val="both"/>
                    <w:rPr>
                      <w:color w:val="000000"/>
                    </w:rPr>
                  </w:pPr>
                  <w:r>
                    <w:rPr>
                      <w:color w:val="000000"/>
                    </w:rPr>
                    <w:t xml:space="preserve">Qualification et expérience du personnel </w:t>
                  </w:r>
                </w:p>
                <w:p>
                  <w:pPr>
                    <w:pStyle w:val="3"/>
                    <w:widowControl w:val="0"/>
                    <w:numPr>
                      <w:ilvl w:val="0"/>
                      <w:numId w:val="8"/>
                    </w:numPr>
                    <w:spacing w:line="360" w:lineRule="auto"/>
                    <w:ind w:left="720" w:right="132" w:hanging="360"/>
                    <w:jc w:val="both"/>
                    <w:rPr>
                      <w:color w:val="000000"/>
                    </w:rPr>
                  </w:pPr>
                  <w:r>
                    <w:rPr>
                      <w:color w:val="000000"/>
                    </w:rPr>
                    <w:t xml:space="preserve">Moyens logistiques </w:t>
                  </w:r>
                </w:p>
                <w:p>
                  <w:pPr>
                    <w:pStyle w:val="3"/>
                    <w:widowControl w:val="0"/>
                    <w:numPr>
                      <w:ilvl w:val="0"/>
                      <w:numId w:val="8"/>
                    </w:numPr>
                    <w:spacing w:line="360" w:lineRule="auto"/>
                    <w:ind w:left="720" w:right="132" w:hanging="360"/>
                    <w:jc w:val="both"/>
                    <w:rPr>
                      <w:color w:val="000000"/>
                    </w:rPr>
                  </w:pPr>
                  <w:r>
                    <w:rPr>
                      <w:color w:val="000000"/>
                    </w:rPr>
                    <w:t xml:space="preserve">Méthodologie </w:t>
                  </w:r>
                </w:p>
                <w:p>
                  <w:pPr>
                    <w:pStyle w:val="3"/>
                    <w:widowControl w:val="0"/>
                    <w:numPr>
                      <w:ilvl w:val="0"/>
                      <w:numId w:val="8"/>
                    </w:numPr>
                    <w:spacing w:line="360" w:lineRule="auto"/>
                    <w:ind w:left="720" w:right="132" w:hanging="360"/>
                    <w:jc w:val="both"/>
                    <w:rPr>
                      <w:b/>
                      <w:color w:val="000000"/>
                    </w:rPr>
                  </w:pPr>
                  <w:r>
                    <w:rPr>
                      <w:b/>
                      <w:color w:val="ED7D31"/>
                    </w:rPr>
                    <w:t xml:space="preserve">Les preuves d’acceptation des conditions du marché </w:t>
                  </w:r>
                </w:p>
              </w:tc>
            </w:tr>
          </w:tbl>
          <w:p>
            <w:pPr>
              <w:pStyle w:val="3"/>
              <w:widowControl w:val="0"/>
              <w:spacing w:line="360" w:lineRule="auto"/>
              <w:ind w:right="132"/>
              <w:jc w:val="both"/>
              <w:rPr>
                <w:b/>
                <w:i/>
                <w:sz w:val="20"/>
                <w:szCs w:val="20"/>
              </w:rPr>
            </w:pPr>
            <w:r>
              <w:rPr>
                <w:i/>
              </w:rPr>
              <w:t>NB : - Le non-respect de 70% critères essentiels</w:t>
            </w:r>
          </w:p>
          <w:p>
            <w:pPr>
              <w:pStyle w:val="3"/>
              <w:widowControl w:val="0"/>
              <w:spacing w:line="360" w:lineRule="auto"/>
              <w:ind w:right="132"/>
              <w:jc w:val="both"/>
              <w:rPr>
                <w:b/>
                <w:sz w:val="20"/>
                <w:szCs w:val="20"/>
              </w:rPr>
            </w:pPr>
            <w:r>
              <w:rPr>
                <w:b/>
                <w:i/>
              </w:rPr>
              <w:t>Le système de notation des offres par attribution des points est proscrit au profit du mode binaire (oui ou non)</w:t>
            </w:r>
            <w:r>
              <w:rPr>
                <w:b/>
              </w:rPr>
              <w:t>.</w:t>
            </w:r>
          </w:p>
          <w:p>
            <w:pPr>
              <w:pStyle w:val="3"/>
              <w:widowControl w:val="0"/>
              <w:spacing w:line="360" w:lineRule="auto"/>
              <w:jc w:val="both"/>
              <w:rPr>
                <w:b/>
                <w:i/>
                <w:sz w:val="20"/>
                <w:szCs w:val="20"/>
              </w:rPr>
            </w:pPr>
            <w:r>
              <w:rPr>
                <w:b/>
                <w:i/>
              </w:rPr>
              <w:t xml:space="preserve">Critères et Sous critères pour l’évaluation détaillée des offres </w:t>
            </w:r>
          </w:p>
          <w:p>
            <w:pPr>
              <w:pStyle w:val="3"/>
              <w:widowControl w:val="0"/>
              <w:numPr>
                <w:ilvl w:val="0"/>
                <w:numId w:val="33"/>
              </w:numPr>
              <w:spacing w:line="360" w:lineRule="auto"/>
              <w:jc w:val="both"/>
              <w:rPr>
                <w:b/>
                <w:i/>
                <w:sz w:val="20"/>
                <w:szCs w:val="20"/>
              </w:rPr>
            </w:pPr>
            <w:r>
              <w:rPr>
                <w:b/>
                <w:i/>
              </w:rPr>
              <w:t>Critères éliminatoires</w:t>
            </w:r>
          </w:p>
          <w:p>
            <w:pPr>
              <w:pStyle w:val="3"/>
              <w:widowControl w:val="0"/>
              <w:rPr>
                <w:b/>
                <w:i/>
                <w:sz w:val="20"/>
                <w:szCs w:val="20"/>
              </w:rPr>
            </w:pPr>
            <w:r>
              <w:rPr>
                <w:b/>
                <w:i/>
              </w:rPr>
              <w:t xml:space="preserve"> Les critères éliminatoires seront à titre indicatifs évalués en fonction des sous critères ci-après :</w:t>
            </w:r>
          </w:p>
          <w:p>
            <w:pPr>
              <w:pStyle w:val="3"/>
              <w:widowControl w:val="0"/>
              <w:rPr>
                <w:b/>
                <w:i/>
                <w:sz w:val="20"/>
                <w:szCs w:val="20"/>
              </w:rPr>
            </w:pPr>
          </w:p>
          <w:p>
            <w:pPr>
              <w:pStyle w:val="3"/>
              <w:widowControl w:val="0"/>
              <w:jc w:val="both"/>
              <w:rPr>
                <w:b/>
                <w:i/>
                <w:sz w:val="20"/>
                <w:szCs w:val="20"/>
              </w:rPr>
            </w:pPr>
            <w:r>
              <w:rPr>
                <w:b/>
                <w:i/>
              </w:rPr>
              <w:t xml:space="preserve">[à préciser formellement pour chaque critère, les modalités de validation d'un critère à partir du nombre de sous-critères respectés] </w:t>
            </w:r>
          </w:p>
          <w:p>
            <w:pPr>
              <w:pStyle w:val="3"/>
              <w:widowControl w:val="0"/>
              <w:jc w:val="both"/>
              <w:rPr>
                <w:b/>
                <w:i/>
                <w:sz w:val="20"/>
                <w:szCs w:val="20"/>
              </w:rPr>
            </w:pPr>
          </w:p>
          <w:tbl>
            <w:tblPr>
              <w:tblStyle w:val="29"/>
              <w:tblW w:w="82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25"/>
              <w:gridCol w:w="2240"/>
              <w:gridCol w:w="2240"/>
              <w:gridCol w:w="1275"/>
              <w:gridCol w:w="1798"/>
            </w:tblGrid>
            <w:tr>
              <w:trPr>
                <w:cantSplit/>
                <w:tblHeader/>
                <w:jc w:val="center"/>
              </w:trPr>
              <w:tc>
                <w:tcPr>
                  <w:tcW w:w="725" w:type="dxa"/>
                  <w:shd w:val="clear" w:color="auto" w:fill="DDD9C3"/>
                  <w:vAlign w:val="center"/>
                </w:tcPr>
                <w:p>
                  <w:pPr>
                    <w:pStyle w:val="3"/>
                    <w:jc w:val="center"/>
                    <w:rPr>
                      <w:b/>
                      <w:sz w:val="20"/>
                      <w:szCs w:val="20"/>
                    </w:rPr>
                  </w:pPr>
                  <w:r>
                    <w:rPr>
                      <w:b/>
                      <w:sz w:val="20"/>
                      <w:szCs w:val="20"/>
                    </w:rPr>
                    <w:t>N°</w:t>
                  </w:r>
                </w:p>
              </w:tc>
              <w:tc>
                <w:tcPr>
                  <w:tcW w:w="5755" w:type="dxa"/>
                  <w:gridSpan w:val="3"/>
                  <w:shd w:val="clear" w:color="auto" w:fill="DDD9C3"/>
                  <w:vAlign w:val="center"/>
                </w:tcPr>
                <w:p>
                  <w:pPr>
                    <w:pStyle w:val="3"/>
                    <w:ind w:left="76"/>
                    <w:jc w:val="center"/>
                    <w:rPr>
                      <w:b/>
                      <w:sz w:val="20"/>
                      <w:szCs w:val="20"/>
                    </w:rPr>
                  </w:pPr>
                  <w:r>
                    <w:rPr>
                      <w:b/>
                      <w:sz w:val="20"/>
                      <w:szCs w:val="20"/>
                    </w:rPr>
                    <w:t>Rubrique</w:t>
                  </w:r>
                </w:p>
              </w:tc>
              <w:tc>
                <w:tcPr>
                  <w:tcW w:w="1798" w:type="dxa"/>
                  <w:shd w:val="clear" w:color="auto" w:fill="DDD9C3"/>
                  <w:vAlign w:val="center"/>
                </w:tcPr>
                <w:p>
                  <w:pPr>
                    <w:pStyle w:val="3"/>
                    <w:ind w:left="32"/>
                    <w:jc w:val="center"/>
                    <w:rPr>
                      <w:b/>
                      <w:sz w:val="20"/>
                      <w:szCs w:val="20"/>
                    </w:rPr>
                  </w:pPr>
                  <w:r>
                    <w:rPr>
                      <w:b/>
                      <w:sz w:val="20"/>
                      <w:szCs w:val="20"/>
                    </w:rPr>
                    <w:t>Oui/Non</w:t>
                  </w:r>
                </w:p>
              </w:tc>
            </w:tr>
            <w:tr>
              <w:trPr>
                <w:cantSplit/>
                <w:tblHeader/>
                <w:jc w:val="center"/>
              </w:trPr>
              <w:tc>
                <w:tcPr>
                  <w:tcW w:w="8278" w:type="dxa"/>
                  <w:gridSpan w:val="5"/>
                  <w:shd w:val="clear" w:color="auto" w:fill="auto"/>
                  <w:vAlign w:val="center"/>
                </w:tcPr>
                <w:p>
                  <w:pPr>
                    <w:pStyle w:val="3"/>
                    <w:numPr>
                      <w:ilvl w:val="0"/>
                      <w:numId w:val="34"/>
                    </w:numPr>
                    <w:jc w:val="both"/>
                    <w:rPr>
                      <w:b/>
                      <w:sz w:val="20"/>
                      <w:szCs w:val="20"/>
                    </w:rPr>
                  </w:pPr>
                  <w:r>
                    <w:rPr>
                      <w:b/>
                      <w:sz w:val="20"/>
                      <w:szCs w:val="20"/>
                    </w:rPr>
                    <w:t>Critères éliminatoires relatifs au dossier administratif</w:t>
                  </w:r>
                </w:p>
              </w:tc>
            </w:tr>
            <w:tr>
              <w:trPr>
                <w:cantSplit/>
                <w:tblHeader/>
                <w:jc w:val="center"/>
              </w:trPr>
              <w:tc>
                <w:tcPr>
                  <w:tcW w:w="725" w:type="dxa"/>
                  <w:shd w:val="clear" w:color="auto" w:fill="auto"/>
                  <w:vAlign w:val="center"/>
                </w:tcPr>
                <w:p>
                  <w:pPr>
                    <w:pStyle w:val="3"/>
                    <w:ind w:left="284"/>
                    <w:jc w:val="both"/>
                    <w:rPr>
                      <w:sz w:val="20"/>
                      <w:szCs w:val="20"/>
                    </w:rPr>
                  </w:pPr>
                  <w:r>
                    <w:rPr>
                      <w:sz w:val="20"/>
                      <w:szCs w:val="20"/>
                    </w:rPr>
                    <w:t>1</w:t>
                  </w:r>
                </w:p>
              </w:tc>
              <w:tc>
                <w:tcPr>
                  <w:tcW w:w="5755" w:type="dxa"/>
                  <w:gridSpan w:val="3"/>
                  <w:shd w:val="clear" w:color="auto" w:fill="auto"/>
                  <w:vAlign w:val="center"/>
                </w:tcPr>
                <w:p>
                  <w:pPr>
                    <w:pStyle w:val="3"/>
                    <w:ind w:left="284"/>
                    <w:jc w:val="both"/>
                    <w:rPr>
                      <w:sz w:val="20"/>
                      <w:szCs w:val="20"/>
                    </w:rPr>
                  </w:pPr>
                  <w:r>
                    <w:rPr>
                      <w:sz w:val="20"/>
                      <w:szCs w:val="20"/>
                    </w:rPr>
                    <w:t>Absence de la caution de soumission à l’ouverture des plis délivrée par un organisme financier de première catégorie autorisé par le Ministère chargé des Finances à émettre des cautions dans le cadre des marchés publics</w:t>
                  </w:r>
                </w:p>
                <w:p>
                  <w:pPr>
                    <w:pStyle w:val="3"/>
                    <w:ind w:left="284"/>
                    <w:jc w:val="both"/>
                    <w:rPr>
                      <w:sz w:val="20"/>
                      <w:szCs w:val="20"/>
                    </w:rPr>
                  </w:pPr>
                  <w:r>
                    <w:rPr>
                      <w:b/>
                      <w:sz w:val="20"/>
                      <w:szCs w:val="20"/>
                    </w:rPr>
                    <w:t>NB</w:t>
                  </w:r>
                  <w:r>
                    <w:rPr>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pPr>
                    <w:pStyle w:val="3"/>
                    <w:ind w:left="284"/>
                    <w:jc w:val="center"/>
                    <w:rPr>
                      <w:sz w:val="20"/>
                      <w:szCs w:val="20"/>
                    </w:rPr>
                  </w:pPr>
                  <w:r>
                    <w:rPr>
                      <w:sz w:val="20"/>
                      <w:szCs w:val="20"/>
                    </w:rPr>
                    <w:t>Oui/Non</w:t>
                  </w:r>
                </w:p>
              </w:tc>
            </w:tr>
            <w:tr>
              <w:trPr>
                <w:cantSplit/>
                <w:tblHeader/>
                <w:jc w:val="center"/>
              </w:trPr>
              <w:tc>
                <w:tcPr>
                  <w:tcW w:w="725" w:type="dxa"/>
                  <w:shd w:val="clear" w:color="auto" w:fill="auto"/>
                  <w:vAlign w:val="center"/>
                </w:tcPr>
                <w:p>
                  <w:pPr>
                    <w:pStyle w:val="3"/>
                    <w:ind w:left="284"/>
                    <w:jc w:val="both"/>
                    <w:rPr>
                      <w:sz w:val="20"/>
                      <w:szCs w:val="20"/>
                    </w:rPr>
                  </w:pPr>
                  <w:r>
                    <w:rPr>
                      <w:sz w:val="20"/>
                      <w:szCs w:val="20"/>
                    </w:rPr>
                    <w:t>2</w:t>
                  </w:r>
                </w:p>
              </w:tc>
              <w:tc>
                <w:tcPr>
                  <w:tcW w:w="5755" w:type="dxa"/>
                  <w:gridSpan w:val="3"/>
                  <w:shd w:val="clear" w:color="auto" w:fill="auto"/>
                  <w:vAlign w:val="center"/>
                </w:tcPr>
                <w:p>
                  <w:pPr>
                    <w:pStyle w:val="3"/>
                    <w:ind w:left="284"/>
                    <w:jc w:val="both"/>
                    <w:rPr>
                      <w:sz w:val="20"/>
                      <w:szCs w:val="20"/>
                    </w:rPr>
                  </w:pPr>
                  <w:r>
                    <w:rPr>
                      <w:sz w:val="20"/>
                      <w:szCs w:val="20"/>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pPr>
                    <w:pStyle w:val="3"/>
                    <w:ind w:left="284"/>
                    <w:jc w:val="center"/>
                    <w:rPr>
                      <w:sz w:val="20"/>
                      <w:szCs w:val="20"/>
                    </w:rPr>
                  </w:pPr>
                  <w:r>
                    <w:rPr>
                      <w:sz w:val="20"/>
                      <w:szCs w:val="20"/>
                    </w:rPr>
                    <w:t>Oui/Non</w:t>
                  </w:r>
                </w:p>
              </w:tc>
            </w:tr>
            <w:tr>
              <w:trPr>
                <w:cantSplit/>
                <w:tblHeader/>
                <w:jc w:val="center"/>
              </w:trPr>
              <w:tc>
                <w:tcPr>
                  <w:tcW w:w="8278" w:type="dxa"/>
                  <w:gridSpan w:val="5"/>
                  <w:shd w:val="clear" w:color="auto" w:fill="auto"/>
                  <w:vAlign w:val="center"/>
                </w:tcPr>
                <w:p>
                  <w:pPr>
                    <w:pStyle w:val="3"/>
                    <w:numPr>
                      <w:ilvl w:val="0"/>
                      <w:numId w:val="34"/>
                    </w:numPr>
                    <w:jc w:val="both"/>
                    <w:rPr>
                      <w:b/>
                      <w:sz w:val="20"/>
                      <w:szCs w:val="20"/>
                    </w:rPr>
                  </w:pPr>
                  <w:r>
                    <w:rPr>
                      <w:b/>
                      <w:sz w:val="20"/>
                      <w:szCs w:val="20"/>
                    </w:rPr>
                    <w:t>Critères éliminatoires relatifs à l’offre technique</w:t>
                  </w:r>
                </w:p>
              </w:tc>
            </w:tr>
            <w:tr>
              <w:trPr>
                <w:cantSplit/>
                <w:tblHeader/>
                <w:jc w:val="center"/>
              </w:trPr>
              <w:tc>
                <w:tcPr>
                  <w:tcW w:w="725" w:type="dxa"/>
                  <w:shd w:val="clear" w:color="auto" w:fill="auto"/>
                  <w:vAlign w:val="center"/>
                </w:tcPr>
                <w:p>
                  <w:pPr>
                    <w:pStyle w:val="3"/>
                    <w:ind w:left="284"/>
                    <w:jc w:val="both"/>
                    <w:rPr>
                      <w:sz w:val="20"/>
                      <w:szCs w:val="20"/>
                    </w:rPr>
                  </w:pPr>
                  <w:r>
                    <w:rPr>
                      <w:sz w:val="20"/>
                      <w:szCs w:val="20"/>
                    </w:rPr>
                    <w:t>3</w:t>
                  </w:r>
                </w:p>
              </w:tc>
              <w:tc>
                <w:tcPr>
                  <w:tcW w:w="5755" w:type="dxa"/>
                  <w:gridSpan w:val="3"/>
                  <w:shd w:val="clear" w:color="auto" w:fill="auto"/>
                  <w:vAlign w:val="center"/>
                </w:tcPr>
                <w:p>
                  <w:pPr>
                    <w:pStyle w:val="3"/>
                    <w:ind w:left="284"/>
                    <w:jc w:val="both"/>
                    <w:rPr>
                      <w:sz w:val="20"/>
                      <w:szCs w:val="20"/>
                    </w:rPr>
                  </w:pPr>
                  <w:r>
                    <w:rPr>
                      <w:sz w:val="20"/>
                      <w:szCs w:val="20"/>
                    </w:rPr>
                    <w:t>L’absence de prospectus accompagné des fiches techniques du fabricant, le cas échéant </w:t>
                  </w:r>
                </w:p>
              </w:tc>
              <w:tc>
                <w:tcPr>
                  <w:tcW w:w="1798" w:type="dxa"/>
                  <w:shd w:val="clear" w:color="auto" w:fill="auto"/>
                  <w:vAlign w:val="center"/>
                </w:tcPr>
                <w:p>
                  <w:pPr>
                    <w:pStyle w:val="3"/>
                    <w:ind w:left="284"/>
                    <w:jc w:val="center"/>
                    <w:rPr>
                      <w:sz w:val="20"/>
                      <w:szCs w:val="20"/>
                    </w:rPr>
                  </w:pPr>
                  <w:r>
                    <w:rPr>
                      <w:sz w:val="20"/>
                      <w:szCs w:val="20"/>
                    </w:rPr>
                    <w:t>Oui/Non</w:t>
                  </w:r>
                </w:p>
              </w:tc>
            </w:tr>
            <w:tr>
              <w:trPr>
                <w:cantSplit/>
                <w:tblHeader/>
                <w:jc w:val="center"/>
              </w:trPr>
              <w:tc>
                <w:tcPr>
                  <w:tcW w:w="725" w:type="dxa"/>
                  <w:vMerge w:val="restart"/>
                  <w:shd w:val="clear" w:color="auto" w:fill="auto"/>
                  <w:vAlign w:val="center"/>
                </w:tcPr>
                <w:p>
                  <w:pPr>
                    <w:pStyle w:val="3"/>
                    <w:ind w:left="284"/>
                    <w:jc w:val="both"/>
                    <w:rPr>
                      <w:sz w:val="20"/>
                      <w:szCs w:val="20"/>
                    </w:rPr>
                  </w:pPr>
                  <w:r>
                    <w:rPr>
                      <w:sz w:val="20"/>
                      <w:szCs w:val="20"/>
                    </w:rPr>
                    <w:t>4</w:t>
                  </w:r>
                </w:p>
              </w:tc>
              <w:tc>
                <w:tcPr>
                  <w:tcW w:w="5755" w:type="dxa"/>
                  <w:gridSpan w:val="3"/>
                  <w:shd w:val="clear" w:color="auto" w:fill="auto"/>
                  <w:vAlign w:val="center"/>
                </w:tcPr>
                <w:p>
                  <w:pPr>
                    <w:pStyle w:val="3"/>
                    <w:jc w:val="both"/>
                    <w:rPr>
                      <w:sz w:val="20"/>
                      <w:szCs w:val="20"/>
                    </w:rPr>
                  </w:pPr>
                  <w:r>
                    <w:rPr>
                      <w:sz w:val="20"/>
                      <w:szCs w:val="20"/>
                    </w:rPr>
                    <w:t xml:space="preserve">Absence de possession d’un matériel minimum </w:t>
                  </w:r>
                </w:p>
                <w:p>
                  <w:pPr>
                    <w:pStyle w:val="3"/>
                    <w:jc w:val="both"/>
                    <w:rPr>
                      <w:sz w:val="20"/>
                      <w:szCs w:val="20"/>
                    </w:rPr>
                  </w:pPr>
                  <w:r>
                    <w:rPr>
                      <w:sz w:val="20"/>
                      <w:szCs w:val="20"/>
                    </w:rPr>
                    <w:t xml:space="preserve">(Liste à préciser par le maître d’Ouvrage et à déterminer en propre ou en location)  </w:t>
                  </w:r>
                </w:p>
                <w:p>
                  <w:pPr>
                    <w:pStyle w:val="3"/>
                    <w:jc w:val="both"/>
                    <w:rPr>
                      <w:b/>
                      <w:i/>
                      <w:sz w:val="20"/>
                      <w:szCs w:val="20"/>
                    </w:rPr>
                  </w:pPr>
                  <w:r>
                    <w:rPr>
                      <w:b/>
                      <w:i/>
                      <w:sz w:val="20"/>
                      <w:szCs w:val="20"/>
                    </w:rPr>
                    <w:t>[à préciser validation de x……………………..sous critères  pour obtenir un oui</w:t>
                  </w:r>
                </w:p>
              </w:tc>
              <w:tc>
                <w:tcPr>
                  <w:tcW w:w="1798" w:type="dxa"/>
                  <w:vMerge w:val="restart"/>
                  <w:shd w:val="clear" w:color="auto" w:fill="auto"/>
                  <w:vAlign w:val="center"/>
                </w:tcPr>
                <w:p>
                  <w:pPr>
                    <w:pStyle w:val="3"/>
                    <w:ind w:left="284"/>
                    <w:jc w:val="center"/>
                    <w:rPr>
                      <w:sz w:val="20"/>
                      <w:szCs w:val="20"/>
                    </w:rPr>
                  </w:pPr>
                  <w:r>
                    <w:rPr>
                      <w:sz w:val="20"/>
                      <w:szCs w:val="20"/>
                    </w:rPr>
                    <w:t>Oui/Non</w:t>
                  </w:r>
                </w:p>
              </w:tc>
            </w:tr>
            <w:tr>
              <w:trPr>
                <w:cantSplit/>
                <w:tblHeader/>
                <w:jc w:val="center"/>
              </w:trPr>
              <w:tc>
                <w:tcPr>
                  <w:tcW w:w="725" w:type="dxa"/>
                  <w:vMerge w:val="continue"/>
                  <w:shd w:val="clear" w:color="auto" w:fill="auto"/>
                  <w:vAlign w:val="center"/>
                </w:tcPr>
                <w:p>
                  <w:pPr>
                    <w:pStyle w:val="3"/>
                    <w:widowControl w:val="0"/>
                    <w:spacing w:line="276" w:lineRule="auto"/>
                    <w:rPr>
                      <w:sz w:val="20"/>
                      <w:szCs w:val="20"/>
                    </w:rPr>
                  </w:pPr>
                </w:p>
              </w:tc>
              <w:tc>
                <w:tcPr>
                  <w:tcW w:w="4480" w:type="dxa"/>
                  <w:gridSpan w:val="2"/>
                  <w:shd w:val="clear" w:color="auto" w:fill="auto"/>
                  <w:vAlign w:val="center"/>
                </w:tcPr>
                <w:p>
                  <w:pPr>
                    <w:pStyle w:val="3"/>
                    <w:jc w:val="both"/>
                    <w:rPr>
                      <w:sz w:val="20"/>
                      <w:szCs w:val="20"/>
                    </w:rPr>
                  </w:pPr>
                  <w:r>
                    <w:rPr>
                      <w:b/>
                      <w:sz w:val="20"/>
                      <w:szCs w:val="20"/>
                    </w:rPr>
                    <w:t>Manuel/Equipement/Matériel n°1</w:t>
                  </w:r>
                  <w:r>
                    <w:rPr>
                      <w:sz w:val="20"/>
                      <w:szCs w:val="20"/>
                    </w:rPr>
                    <w:t xml:space="preserve"> </w:t>
                  </w:r>
                </w:p>
                <w:p>
                  <w:pPr>
                    <w:pStyle w:val="3"/>
                    <w:jc w:val="both"/>
                    <w:rPr>
                      <w:sz w:val="20"/>
                      <w:szCs w:val="20"/>
                    </w:rPr>
                  </w:pPr>
                  <w:r>
                    <w:rPr>
                      <w:sz w:val="20"/>
                      <w:szCs w:val="20"/>
                    </w:rPr>
                    <w:t>Spécifications techniques majeures où</w:t>
                  </w:r>
                </w:p>
                <w:p>
                  <w:pPr>
                    <w:pStyle w:val="3"/>
                    <w:jc w:val="both"/>
                    <w:rPr>
                      <w:i/>
                      <w:sz w:val="20"/>
                      <w:szCs w:val="20"/>
                    </w:rPr>
                  </w:pPr>
                  <w:r>
                    <w:rPr>
                      <w:i/>
                      <w:sz w:val="20"/>
                      <w:szCs w:val="20"/>
                    </w:rPr>
                    <w:t>[Caractéristiques obligatoires]</w:t>
                  </w:r>
                </w:p>
                <w:p>
                  <w:pPr>
                    <w:pStyle w:val="3"/>
                    <w:jc w:val="both"/>
                    <w:rPr>
                      <w:b/>
                      <w:i/>
                      <w:sz w:val="20"/>
                      <w:szCs w:val="20"/>
                    </w:rPr>
                  </w:pPr>
                  <w:r>
                    <w:rPr>
                      <w:b/>
                      <w:i/>
                      <w:sz w:val="20"/>
                      <w:szCs w:val="20"/>
                    </w:rPr>
                    <w:t>[à préciser  validation de x……sous  critères  pour obtenir  un oui</w:t>
                  </w:r>
                </w:p>
              </w:tc>
              <w:tc>
                <w:tcPr>
                  <w:tcW w:w="1275" w:type="dxa"/>
                  <w:vMerge w:val="restart"/>
                  <w:shd w:val="clear" w:color="auto" w:fill="auto"/>
                  <w:vAlign w:val="center"/>
                </w:tcPr>
                <w:p>
                  <w:pPr>
                    <w:pStyle w:val="3"/>
                    <w:ind w:left="284"/>
                    <w:jc w:val="center"/>
                    <w:rPr>
                      <w:sz w:val="20"/>
                      <w:szCs w:val="20"/>
                    </w:rPr>
                  </w:pPr>
                  <w:r>
                    <w:rPr>
                      <w:sz w:val="20"/>
                      <w:szCs w:val="20"/>
                    </w:rPr>
                    <w:t>Oui/Non</w:t>
                  </w:r>
                </w:p>
              </w:tc>
              <w:tc>
                <w:tcPr>
                  <w:tcW w:w="1798" w:type="dxa"/>
                  <w:vMerge w:val="continue"/>
                  <w:shd w:val="clear" w:color="auto" w:fill="auto"/>
                  <w:vAlign w:val="center"/>
                </w:tcPr>
                <w:p>
                  <w:pPr>
                    <w:pStyle w:val="3"/>
                    <w:widowControl w:val="0"/>
                    <w:spacing w:line="276" w:lineRule="auto"/>
                    <w:rPr>
                      <w:sz w:val="20"/>
                      <w:szCs w:val="20"/>
                    </w:rPr>
                  </w:pPr>
                </w:p>
              </w:tc>
            </w:tr>
            <w:tr>
              <w:trPr>
                <w:cantSplit/>
                <w:tblHeader/>
                <w:jc w:val="center"/>
              </w:trPr>
              <w:tc>
                <w:tcPr>
                  <w:tcW w:w="725" w:type="dxa"/>
                  <w:vMerge w:val="continue"/>
                  <w:shd w:val="clear" w:color="auto" w:fill="auto"/>
                  <w:vAlign w:val="center"/>
                </w:tcPr>
                <w:p>
                  <w:pPr>
                    <w:pStyle w:val="3"/>
                    <w:widowControl w:val="0"/>
                    <w:spacing w:line="276" w:lineRule="auto"/>
                    <w:rPr>
                      <w:sz w:val="20"/>
                      <w:szCs w:val="20"/>
                    </w:rPr>
                  </w:pPr>
                </w:p>
              </w:tc>
              <w:tc>
                <w:tcPr>
                  <w:tcW w:w="2240" w:type="dxa"/>
                  <w:shd w:val="clear" w:color="auto" w:fill="auto"/>
                  <w:vAlign w:val="center"/>
                </w:tcPr>
                <w:p>
                  <w:pPr>
                    <w:pStyle w:val="3"/>
                    <w:ind w:left="284"/>
                    <w:jc w:val="both"/>
                    <w:rPr>
                      <w:sz w:val="20"/>
                      <w:szCs w:val="20"/>
                    </w:rPr>
                  </w:pPr>
                  <w:r>
                    <w:rPr>
                      <w:sz w:val="20"/>
                      <w:szCs w:val="20"/>
                    </w:rPr>
                    <w:t>Caractéristique n°1</w:t>
                  </w:r>
                </w:p>
              </w:tc>
              <w:tc>
                <w:tcPr>
                  <w:tcW w:w="2240" w:type="dxa"/>
                  <w:shd w:val="clear" w:color="auto" w:fill="auto"/>
                  <w:vAlign w:val="center"/>
                </w:tcPr>
                <w:p>
                  <w:pPr>
                    <w:pStyle w:val="3"/>
                    <w:ind w:left="284"/>
                    <w:jc w:val="both"/>
                    <w:rPr>
                      <w:sz w:val="20"/>
                      <w:szCs w:val="20"/>
                    </w:rPr>
                  </w:pPr>
                  <w:r>
                    <w:rPr>
                      <w:sz w:val="20"/>
                      <w:szCs w:val="20"/>
                    </w:rPr>
                    <w:t>Oui/Non</w:t>
                  </w:r>
                </w:p>
              </w:tc>
              <w:tc>
                <w:tcPr>
                  <w:tcW w:w="1275" w:type="dxa"/>
                  <w:vMerge w:val="continue"/>
                  <w:shd w:val="clear" w:color="auto" w:fill="auto"/>
                  <w:vAlign w:val="center"/>
                </w:tcPr>
                <w:p>
                  <w:pPr>
                    <w:pStyle w:val="3"/>
                    <w:widowControl w:val="0"/>
                    <w:spacing w:line="276" w:lineRule="auto"/>
                    <w:rPr>
                      <w:sz w:val="20"/>
                      <w:szCs w:val="20"/>
                    </w:rPr>
                  </w:pPr>
                </w:p>
              </w:tc>
              <w:tc>
                <w:tcPr>
                  <w:tcW w:w="1798" w:type="dxa"/>
                  <w:vMerge w:val="continue"/>
                  <w:shd w:val="clear" w:color="auto" w:fill="auto"/>
                  <w:vAlign w:val="center"/>
                </w:tcPr>
                <w:p>
                  <w:pPr>
                    <w:pStyle w:val="3"/>
                    <w:widowControl w:val="0"/>
                    <w:spacing w:line="276" w:lineRule="auto"/>
                    <w:rPr>
                      <w:sz w:val="20"/>
                      <w:szCs w:val="20"/>
                    </w:rPr>
                  </w:pPr>
                </w:p>
              </w:tc>
            </w:tr>
            <w:tr>
              <w:trPr>
                <w:cantSplit/>
                <w:tblHeader/>
                <w:jc w:val="center"/>
              </w:trPr>
              <w:tc>
                <w:tcPr>
                  <w:tcW w:w="725" w:type="dxa"/>
                  <w:vMerge w:val="continue"/>
                  <w:shd w:val="clear" w:color="auto" w:fill="auto"/>
                  <w:vAlign w:val="center"/>
                </w:tcPr>
                <w:p>
                  <w:pPr>
                    <w:pStyle w:val="3"/>
                    <w:widowControl w:val="0"/>
                    <w:spacing w:line="276" w:lineRule="auto"/>
                    <w:rPr>
                      <w:sz w:val="20"/>
                      <w:szCs w:val="20"/>
                    </w:rPr>
                  </w:pPr>
                </w:p>
              </w:tc>
              <w:tc>
                <w:tcPr>
                  <w:tcW w:w="2240" w:type="dxa"/>
                  <w:shd w:val="clear" w:color="auto" w:fill="auto"/>
                  <w:vAlign w:val="center"/>
                </w:tcPr>
                <w:p>
                  <w:pPr>
                    <w:pStyle w:val="3"/>
                    <w:ind w:left="284"/>
                    <w:jc w:val="both"/>
                    <w:rPr>
                      <w:sz w:val="20"/>
                      <w:szCs w:val="20"/>
                    </w:rPr>
                  </w:pPr>
                  <w:r>
                    <w:rPr>
                      <w:sz w:val="20"/>
                      <w:szCs w:val="20"/>
                    </w:rPr>
                    <w:t>Caractéristique n°2</w:t>
                  </w:r>
                </w:p>
              </w:tc>
              <w:tc>
                <w:tcPr>
                  <w:tcW w:w="2240" w:type="dxa"/>
                  <w:shd w:val="clear" w:color="auto" w:fill="auto"/>
                  <w:vAlign w:val="center"/>
                </w:tcPr>
                <w:p>
                  <w:pPr>
                    <w:pStyle w:val="3"/>
                    <w:ind w:left="284"/>
                    <w:jc w:val="both"/>
                    <w:rPr>
                      <w:sz w:val="20"/>
                      <w:szCs w:val="20"/>
                    </w:rPr>
                  </w:pPr>
                  <w:r>
                    <w:rPr>
                      <w:sz w:val="20"/>
                      <w:szCs w:val="20"/>
                    </w:rPr>
                    <w:t>Oui/Non</w:t>
                  </w:r>
                </w:p>
              </w:tc>
              <w:tc>
                <w:tcPr>
                  <w:tcW w:w="1275" w:type="dxa"/>
                  <w:vMerge w:val="continue"/>
                  <w:shd w:val="clear" w:color="auto" w:fill="auto"/>
                  <w:vAlign w:val="center"/>
                </w:tcPr>
                <w:p>
                  <w:pPr>
                    <w:pStyle w:val="3"/>
                    <w:widowControl w:val="0"/>
                    <w:spacing w:line="276" w:lineRule="auto"/>
                    <w:rPr>
                      <w:sz w:val="20"/>
                      <w:szCs w:val="20"/>
                    </w:rPr>
                  </w:pPr>
                </w:p>
              </w:tc>
              <w:tc>
                <w:tcPr>
                  <w:tcW w:w="1798" w:type="dxa"/>
                  <w:vMerge w:val="continue"/>
                  <w:shd w:val="clear" w:color="auto" w:fill="auto"/>
                  <w:vAlign w:val="center"/>
                </w:tcPr>
                <w:p>
                  <w:pPr>
                    <w:pStyle w:val="3"/>
                    <w:widowControl w:val="0"/>
                    <w:spacing w:line="276" w:lineRule="auto"/>
                    <w:rPr>
                      <w:sz w:val="20"/>
                      <w:szCs w:val="20"/>
                    </w:rPr>
                  </w:pPr>
                </w:p>
              </w:tc>
            </w:tr>
            <w:tr>
              <w:trPr>
                <w:cantSplit/>
                <w:tblHeader/>
                <w:jc w:val="center"/>
              </w:trPr>
              <w:tc>
                <w:tcPr>
                  <w:tcW w:w="725" w:type="dxa"/>
                  <w:vMerge w:val="continue"/>
                  <w:shd w:val="clear" w:color="auto" w:fill="auto"/>
                  <w:vAlign w:val="center"/>
                </w:tcPr>
                <w:p>
                  <w:pPr>
                    <w:pStyle w:val="3"/>
                    <w:widowControl w:val="0"/>
                    <w:spacing w:line="276" w:lineRule="auto"/>
                    <w:rPr>
                      <w:sz w:val="20"/>
                      <w:szCs w:val="20"/>
                    </w:rPr>
                  </w:pPr>
                </w:p>
              </w:tc>
              <w:tc>
                <w:tcPr>
                  <w:tcW w:w="4480" w:type="dxa"/>
                  <w:gridSpan w:val="2"/>
                  <w:shd w:val="clear" w:color="auto" w:fill="auto"/>
                  <w:vAlign w:val="center"/>
                </w:tcPr>
                <w:p>
                  <w:pPr>
                    <w:pStyle w:val="3"/>
                    <w:ind w:left="284"/>
                    <w:jc w:val="both"/>
                    <w:rPr>
                      <w:sz w:val="20"/>
                      <w:szCs w:val="20"/>
                    </w:rPr>
                  </w:pPr>
                  <w:r>
                    <w:rPr>
                      <w:b/>
                      <w:sz w:val="20"/>
                      <w:szCs w:val="20"/>
                    </w:rPr>
                    <w:t>Manuel/Equipement/Matériel n°2</w:t>
                  </w:r>
                  <w:r>
                    <w:rPr>
                      <w:sz w:val="20"/>
                      <w:szCs w:val="20"/>
                    </w:rPr>
                    <w:t xml:space="preserve"> </w:t>
                  </w:r>
                </w:p>
                <w:p>
                  <w:pPr>
                    <w:pStyle w:val="3"/>
                    <w:ind w:left="284"/>
                    <w:jc w:val="both"/>
                    <w:rPr>
                      <w:sz w:val="20"/>
                      <w:szCs w:val="20"/>
                    </w:rPr>
                  </w:pPr>
                  <w:r>
                    <w:rPr>
                      <w:sz w:val="20"/>
                      <w:szCs w:val="20"/>
                    </w:rPr>
                    <w:t>Spécifications techniques majeures</w:t>
                  </w:r>
                </w:p>
                <w:p>
                  <w:pPr>
                    <w:pStyle w:val="3"/>
                    <w:ind w:left="284"/>
                    <w:jc w:val="both"/>
                    <w:rPr>
                      <w:i/>
                      <w:sz w:val="20"/>
                      <w:szCs w:val="20"/>
                    </w:rPr>
                  </w:pPr>
                  <w:r>
                    <w:rPr>
                      <w:i/>
                      <w:sz w:val="20"/>
                      <w:szCs w:val="20"/>
                    </w:rPr>
                    <w:t>[Caractéristiques obligatoires]</w:t>
                  </w:r>
                </w:p>
                <w:p>
                  <w:pPr>
                    <w:pStyle w:val="3"/>
                    <w:ind w:left="284"/>
                    <w:jc w:val="both"/>
                    <w:rPr>
                      <w:b/>
                      <w:i/>
                      <w:sz w:val="20"/>
                      <w:szCs w:val="20"/>
                    </w:rPr>
                  </w:pPr>
                  <w:r>
                    <w:rPr>
                      <w:b/>
                      <w:i/>
                      <w:sz w:val="20"/>
                      <w:szCs w:val="20"/>
                    </w:rPr>
                    <w:t xml:space="preserve"> [à préciser  validation de x……………………..sous  critères  pour obtenir  un oui</w:t>
                  </w:r>
                </w:p>
              </w:tc>
              <w:tc>
                <w:tcPr>
                  <w:tcW w:w="1275" w:type="dxa"/>
                  <w:vMerge w:val="restart"/>
                  <w:shd w:val="clear" w:color="auto" w:fill="auto"/>
                  <w:vAlign w:val="center"/>
                </w:tcPr>
                <w:p>
                  <w:pPr>
                    <w:pStyle w:val="3"/>
                    <w:ind w:left="284"/>
                    <w:jc w:val="center"/>
                    <w:rPr>
                      <w:sz w:val="20"/>
                      <w:szCs w:val="20"/>
                    </w:rPr>
                  </w:pPr>
                  <w:r>
                    <w:rPr>
                      <w:sz w:val="20"/>
                      <w:szCs w:val="20"/>
                    </w:rPr>
                    <w:t>Oui/Non</w:t>
                  </w:r>
                </w:p>
              </w:tc>
              <w:tc>
                <w:tcPr>
                  <w:tcW w:w="1798" w:type="dxa"/>
                  <w:vMerge w:val="continue"/>
                  <w:shd w:val="clear" w:color="auto" w:fill="auto"/>
                  <w:vAlign w:val="center"/>
                </w:tcPr>
                <w:p>
                  <w:pPr>
                    <w:pStyle w:val="3"/>
                    <w:widowControl w:val="0"/>
                    <w:spacing w:line="276" w:lineRule="auto"/>
                    <w:rPr>
                      <w:sz w:val="20"/>
                      <w:szCs w:val="20"/>
                    </w:rPr>
                  </w:pPr>
                </w:p>
              </w:tc>
            </w:tr>
            <w:tr>
              <w:trPr>
                <w:cantSplit/>
                <w:trHeight w:val="275" w:hRule="atLeast"/>
                <w:tblHeader/>
                <w:jc w:val="center"/>
              </w:trPr>
              <w:tc>
                <w:tcPr>
                  <w:tcW w:w="725" w:type="dxa"/>
                  <w:vMerge w:val="continue"/>
                  <w:shd w:val="clear" w:color="auto" w:fill="auto"/>
                  <w:vAlign w:val="center"/>
                </w:tcPr>
                <w:p>
                  <w:pPr>
                    <w:pStyle w:val="3"/>
                    <w:widowControl w:val="0"/>
                    <w:spacing w:line="276" w:lineRule="auto"/>
                    <w:rPr>
                      <w:sz w:val="20"/>
                      <w:szCs w:val="20"/>
                    </w:rPr>
                  </w:pPr>
                </w:p>
              </w:tc>
              <w:tc>
                <w:tcPr>
                  <w:tcW w:w="2240" w:type="dxa"/>
                  <w:shd w:val="clear" w:color="auto" w:fill="auto"/>
                  <w:vAlign w:val="center"/>
                </w:tcPr>
                <w:p>
                  <w:pPr>
                    <w:pStyle w:val="3"/>
                    <w:ind w:left="284"/>
                    <w:jc w:val="both"/>
                    <w:rPr>
                      <w:sz w:val="20"/>
                      <w:szCs w:val="20"/>
                    </w:rPr>
                  </w:pPr>
                  <w:r>
                    <w:rPr>
                      <w:sz w:val="20"/>
                      <w:szCs w:val="20"/>
                    </w:rPr>
                    <w:t>Caractéristique n°1</w:t>
                  </w:r>
                </w:p>
              </w:tc>
              <w:tc>
                <w:tcPr>
                  <w:tcW w:w="2240" w:type="dxa"/>
                  <w:shd w:val="clear" w:color="auto" w:fill="auto"/>
                  <w:vAlign w:val="center"/>
                </w:tcPr>
                <w:p>
                  <w:pPr>
                    <w:pStyle w:val="3"/>
                    <w:ind w:left="284"/>
                    <w:jc w:val="both"/>
                    <w:rPr>
                      <w:sz w:val="20"/>
                      <w:szCs w:val="20"/>
                    </w:rPr>
                  </w:pPr>
                  <w:r>
                    <w:rPr>
                      <w:sz w:val="20"/>
                      <w:szCs w:val="20"/>
                    </w:rPr>
                    <w:t>Oui/Non</w:t>
                  </w:r>
                </w:p>
              </w:tc>
              <w:tc>
                <w:tcPr>
                  <w:tcW w:w="1275" w:type="dxa"/>
                  <w:vMerge w:val="continue"/>
                  <w:shd w:val="clear" w:color="auto" w:fill="auto"/>
                  <w:vAlign w:val="center"/>
                </w:tcPr>
                <w:p>
                  <w:pPr>
                    <w:pStyle w:val="3"/>
                    <w:widowControl w:val="0"/>
                    <w:spacing w:line="276" w:lineRule="auto"/>
                    <w:rPr>
                      <w:sz w:val="20"/>
                      <w:szCs w:val="20"/>
                    </w:rPr>
                  </w:pPr>
                </w:p>
              </w:tc>
              <w:tc>
                <w:tcPr>
                  <w:tcW w:w="1798" w:type="dxa"/>
                  <w:vMerge w:val="continue"/>
                  <w:shd w:val="clear" w:color="auto" w:fill="auto"/>
                  <w:vAlign w:val="center"/>
                </w:tcPr>
                <w:p>
                  <w:pPr>
                    <w:pStyle w:val="3"/>
                    <w:widowControl w:val="0"/>
                    <w:spacing w:line="276" w:lineRule="auto"/>
                    <w:rPr>
                      <w:sz w:val="20"/>
                      <w:szCs w:val="20"/>
                    </w:rPr>
                  </w:pPr>
                </w:p>
              </w:tc>
            </w:tr>
            <w:tr>
              <w:trPr>
                <w:cantSplit/>
                <w:tblHeader/>
                <w:jc w:val="center"/>
              </w:trPr>
              <w:tc>
                <w:tcPr>
                  <w:tcW w:w="725" w:type="dxa"/>
                  <w:vMerge w:val="continue"/>
                  <w:shd w:val="clear" w:color="auto" w:fill="auto"/>
                  <w:vAlign w:val="center"/>
                </w:tcPr>
                <w:p>
                  <w:pPr>
                    <w:pStyle w:val="3"/>
                    <w:widowControl w:val="0"/>
                    <w:spacing w:line="276" w:lineRule="auto"/>
                    <w:rPr>
                      <w:sz w:val="20"/>
                      <w:szCs w:val="20"/>
                    </w:rPr>
                  </w:pPr>
                </w:p>
              </w:tc>
              <w:tc>
                <w:tcPr>
                  <w:tcW w:w="2240" w:type="dxa"/>
                  <w:shd w:val="clear" w:color="auto" w:fill="auto"/>
                  <w:vAlign w:val="center"/>
                </w:tcPr>
                <w:p>
                  <w:pPr>
                    <w:pStyle w:val="3"/>
                    <w:ind w:left="284"/>
                    <w:jc w:val="both"/>
                    <w:rPr>
                      <w:sz w:val="20"/>
                      <w:szCs w:val="20"/>
                    </w:rPr>
                  </w:pPr>
                  <w:r>
                    <w:rPr>
                      <w:sz w:val="20"/>
                      <w:szCs w:val="20"/>
                    </w:rPr>
                    <w:t>Caractéristique n°2</w:t>
                  </w:r>
                </w:p>
              </w:tc>
              <w:tc>
                <w:tcPr>
                  <w:tcW w:w="2240" w:type="dxa"/>
                  <w:shd w:val="clear" w:color="auto" w:fill="auto"/>
                  <w:vAlign w:val="center"/>
                </w:tcPr>
                <w:p>
                  <w:pPr>
                    <w:pStyle w:val="3"/>
                    <w:ind w:left="284"/>
                    <w:jc w:val="both"/>
                    <w:rPr>
                      <w:sz w:val="20"/>
                      <w:szCs w:val="20"/>
                    </w:rPr>
                  </w:pPr>
                  <w:r>
                    <w:rPr>
                      <w:sz w:val="20"/>
                      <w:szCs w:val="20"/>
                    </w:rPr>
                    <w:t>Oui/Non</w:t>
                  </w:r>
                </w:p>
              </w:tc>
              <w:tc>
                <w:tcPr>
                  <w:tcW w:w="1275" w:type="dxa"/>
                  <w:vMerge w:val="continue"/>
                  <w:shd w:val="clear" w:color="auto" w:fill="auto"/>
                  <w:vAlign w:val="center"/>
                </w:tcPr>
                <w:p>
                  <w:pPr>
                    <w:pStyle w:val="3"/>
                    <w:widowControl w:val="0"/>
                    <w:spacing w:line="276" w:lineRule="auto"/>
                    <w:rPr>
                      <w:sz w:val="20"/>
                      <w:szCs w:val="20"/>
                    </w:rPr>
                  </w:pPr>
                </w:p>
              </w:tc>
              <w:tc>
                <w:tcPr>
                  <w:tcW w:w="1798" w:type="dxa"/>
                  <w:vMerge w:val="continue"/>
                  <w:shd w:val="clear" w:color="auto" w:fill="auto"/>
                  <w:vAlign w:val="center"/>
                </w:tcPr>
                <w:p>
                  <w:pPr>
                    <w:pStyle w:val="3"/>
                    <w:widowControl w:val="0"/>
                    <w:spacing w:line="276" w:lineRule="auto"/>
                    <w:rPr>
                      <w:sz w:val="20"/>
                      <w:szCs w:val="20"/>
                    </w:rPr>
                  </w:pPr>
                </w:p>
              </w:tc>
            </w:tr>
            <w:tr>
              <w:trPr>
                <w:cantSplit/>
                <w:tblHeader/>
                <w:jc w:val="center"/>
              </w:trPr>
              <w:tc>
                <w:tcPr>
                  <w:tcW w:w="725" w:type="dxa"/>
                  <w:shd w:val="clear" w:color="auto" w:fill="auto"/>
                  <w:vAlign w:val="center"/>
                </w:tcPr>
                <w:p>
                  <w:pPr>
                    <w:pStyle w:val="3"/>
                    <w:ind w:left="284"/>
                    <w:jc w:val="both"/>
                    <w:rPr>
                      <w:sz w:val="20"/>
                      <w:szCs w:val="20"/>
                    </w:rPr>
                  </w:pPr>
                  <w:r>
                    <w:rPr>
                      <w:sz w:val="20"/>
                      <w:szCs w:val="20"/>
                    </w:rPr>
                    <w:t>5</w:t>
                  </w:r>
                </w:p>
              </w:tc>
              <w:tc>
                <w:tcPr>
                  <w:tcW w:w="5755" w:type="dxa"/>
                  <w:gridSpan w:val="3"/>
                  <w:shd w:val="clear" w:color="auto" w:fill="auto"/>
                  <w:vAlign w:val="center"/>
                </w:tcPr>
                <w:p>
                  <w:pPr>
                    <w:pStyle w:val="3"/>
                    <w:ind w:left="284"/>
                    <w:jc w:val="both"/>
                    <w:rPr>
                      <w:sz w:val="20"/>
                      <w:szCs w:val="20"/>
                    </w:rPr>
                  </w:pPr>
                  <w:r>
                    <w:rPr>
                      <w:sz w:val="20"/>
                      <w:szCs w:val="20"/>
                    </w:rPr>
                    <w:t>Absence de la charte d’intégrité datée et signée</w:t>
                  </w:r>
                </w:p>
              </w:tc>
              <w:tc>
                <w:tcPr>
                  <w:tcW w:w="1798" w:type="dxa"/>
                  <w:shd w:val="clear" w:color="auto" w:fill="auto"/>
                  <w:vAlign w:val="center"/>
                </w:tcPr>
                <w:p>
                  <w:pPr>
                    <w:pStyle w:val="3"/>
                    <w:ind w:left="284"/>
                    <w:jc w:val="both"/>
                    <w:rPr>
                      <w:sz w:val="20"/>
                      <w:szCs w:val="20"/>
                    </w:rPr>
                  </w:pPr>
                  <w:r>
                    <w:rPr>
                      <w:sz w:val="20"/>
                      <w:szCs w:val="20"/>
                    </w:rPr>
                    <w:t>Oui/Non</w:t>
                  </w:r>
                </w:p>
              </w:tc>
            </w:tr>
            <w:tr>
              <w:trPr>
                <w:cantSplit/>
                <w:tblHeader/>
                <w:jc w:val="center"/>
              </w:trPr>
              <w:tc>
                <w:tcPr>
                  <w:tcW w:w="725" w:type="dxa"/>
                  <w:shd w:val="clear" w:color="auto" w:fill="auto"/>
                  <w:vAlign w:val="center"/>
                </w:tcPr>
                <w:p>
                  <w:pPr>
                    <w:pStyle w:val="3"/>
                    <w:ind w:left="284"/>
                    <w:jc w:val="both"/>
                    <w:rPr>
                      <w:sz w:val="20"/>
                      <w:szCs w:val="20"/>
                    </w:rPr>
                  </w:pPr>
                  <w:r>
                    <w:rPr>
                      <w:sz w:val="20"/>
                      <w:szCs w:val="20"/>
                    </w:rPr>
                    <w:t>6</w:t>
                  </w:r>
                </w:p>
              </w:tc>
              <w:tc>
                <w:tcPr>
                  <w:tcW w:w="5755" w:type="dxa"/>
                  <w:gridSpan w:val="3"/>
                  <w:shd w:val="clear" w:color="auto" w:fill="auto"/>
                  <w:vAlign w:val="center"/>
                </w:tcPr>
                <w:p>
                  <w:pPr>
                    <w:pStyle w:val="3"/>
                    <w:ind w:left="284"/>
                    <w:jc w:val="both"/>
                    <w:rPr>
                      <w:sz w:val="20"/>
                      <w:szCs w:val="20"/>
                    </w:rPr>
                  </w:pPr>
                  <w:r>
                    <w:rPr>
                      <w:sz w:val="20"/>
                      <w:szCs w:val="20"/>
                    </w:rPr>
                    <w:t>Absence de la déclaration d’engagement au respect des clauses environnementales</w:t>
                  </w:r>
                </w:p>
              </w:tc>
              <w:tc>
                <w:tcPr>
                  <w:tcW w:w="1798" w:type="dxa"/>
                  <w:shd w:val="clear" w:color="auto" w:fill="auto"/>
                  <w:vAlign w:val="center"/>
                </w:tcPr>
                <w:p>
                  <w:pPr>
                    <w:pStyle w:val="3"/>
                    <w:ind w:left="284"/>
                    <w:jc w:val="both"/>
                    <w:rPr>
                      <w:sz w:val="20"/>
                      <w:szCs w:val="20"/>
                    </w:rPr>
                  </w:pPr>
                  <w:r>
                    <w:rPr>
                      <w:sz w:val="20"/>
                      <w:szCs w:val="20"/>
                    </w:rPr>
                    <w:t>Oui/Non</w:t>
                  </w:r>
                </w:p>
              </w:tc>
            </w:tr>
            <w:tr>
              <w:trPr>
                <w:cantSplit/>
                <w:tblHeader/>
                <w:jc w:val="center"/>
              </w:trPr>
              <w:tc>
                <w:tcPr>
                  <w:tcW w:w="8278" w:type="dxa"/>
                  <w:gridSpan w:val="5"/>
                  <w:shd w:val="clear" w:color="auto" w:fill="auto"/>
                  <w:vAlign w:val="center"/>
                </w:tcPr>
                <w:p>
                  <w:pPr>
                    <w:pStyle w:val="3"/>
                    <w:numPr>
                      <w:ilvl w:val="0"/>
                      <w:numId w:val="34"/>
                    </w:numPr>
                    <w:jc w:val="both"/>
                    <w:rPr>
                      <w:b/>
                      <w:sz w:val="20"/>
                      <w:szCs w:val="20"/>
                    </w:rPr>
                  </w:pPr>
                  <w:r>
                    <w:rPr>
                      <w:b/>
                      <w:sz w:val="20"/>
                      <w:szCs w:val="20"/>
                    </w:rPr>
                    <w:t>Critères éliminatoires relatifs à l’offre financière</w:t>
                  </w:r>
                </w:p>
              </w:tc>
            </w:tr>
            <w:tr>
              <w:trPr>
                <w:cantSplit/>
                <w:tblHeader/>
                <w:jc w:val="center"/>
              </w:trPr>
              <w:tc>
                <w:tcPr>
                  <w:tcW w:w="725" w:type="dxa"/>
                  <w:shd w:val="clear" w:color="auto" w:fill="auto"/>
                  <w:vAlign w:val="center"/>
                </w:tcPr>
                <w:p>
                  <w:pPr>
                    <w:pStyle w:val="3"/>
                    <w:ind w:left="204"/>
                    <w:jc w:val="both"/>
                    <w:rPr>
                      <w:sz w:val="20"/>
                      <w:szCs w:val="20"/>
                    </w:rPr>
                  </w:pPr>
                  <w:r>
                    <w:rPr>
                      <w:sz w:val="20"/>
                      <w:szCs w:val="20"/>
                    </w:rPr>
                    <w:t>7</w:t>
                  </w:r>
                </w:p>
              </w:tc>
              <w:tc>
                <w:tcPr>
                  <w:tcW w:w="5755" w:type="dxa"/>
                  <w:gridSpan w:val="3"/>
                  <w:shd w:val="clear" w:color="auto" w:fill="auto"/>
                  <w:vAlign w:val="center"/>
                </w:tcPr>
                <w:p>
                  <w:pPr>
                    <w:pStyle w:val="3"/>
                    <w:ind w:left="284"/>
                    <w:jc w:val="both"/>
                    <w:rPr>
                      <w:sz w:val="20"/>
                      <w:szCs w:val="20"/>
                    </w:rPr>
                  </w:pPr>
                  <w:r>
                    <w:rPr>
                      <w:sz w:val="20"/>
                      <w:szCs w:val="20"/>
                    </w:rPr>
                    <w:t>Absence d’un prix unitaire quantifié dans l’offre financière</w:t>
                  </w:r>
                </w:p>
              </w:tc>
              <w:tc>
                <w:tcPr>
                  <w:tcW w:w="1798" w:type="dxa"/>
                  <w:shd w:val="clear" w:color="auto" w:fill="auto"/>
                  <w:vAlign w:val="center"/>
                </w:tcPr>
                <w:p>
                  <w:pPr>
                    <w:pStyle w:val="3"/>
                    <w:ind w:left="284"/>
                    <w:jc w:val="both"/>
                    <w:rPr>
                      <w:sz w:val="20"/>
                      <w:szCs w:val="20"/>
                    </w:rPr>
                  </w:pPr>
                  <w:r>
                    <w:rPr>
                      <w:sz w:val="20"/>
                      <w:szCs w:val="20"/>
                    </w:rPr>
                    <w:t>Oui/Non</w:t>
                  </w:r>
                </w:p>
              </w:tc>
            </w:tr>
            <w:tr>
              <w:trPr>
                <w:cantSplit/>
                <w:tblHeader/>
                <w:jc w:val="center"/>
              </w:trPr>
              <w:tc>
                <w:tcPr>
                  <w:tcW w:w="8278" w:type="dxa"/>
                  <w:gridSpan w:val="5"/>
                  <w:shd w:val="clear" w:color="auto" w:fill="auto"/>
                  <w:vAlign w:val="center"/>
                </w:tcPr>
                <w:p>
                  <w:pPr>
                    <w:pStyle w:val="3"/>
                    <w:numPr>
                      <w:ilvl w:val="0"/>
                      <w:numId w:val="34"/>
                    </w:numPr>
                    <w:jc w:val="both"/>
                    <w:rPr>
                      <w:b/>
                      <w:sz w:val="20"/>
                      <w:szCs w:val="20"/>
                    </w:rPr>
                  </w:pPr>
                  <w:r>
                    <w:rPr>
                      <w:b/>
                      <w:sz w:val="20"/>
                      <w:szCs w:val="20"/>
                    </w:rPr>
                    <w:t>Critères éliminatoires d’ordre général</w:t>
                  </w:r>
                </w:p>
              </w:tc>
            </w:tr>
            <w:tr>
              <w:trPr>
                <w:cantSplit/>
                <w:tblHeader/>
                <w:jc w:val="center"/>
              </w:trPr>
              <w:tc>
                <w:tcPr>
                  <w:tcW w:w="725" w:type="dxa"/>
                  <w:shd w:val="clear" w:color="auto" w:fill="auto"/>
                  <w:vAlign w:val="center"/>
                </w:tcPr>
                <w:p>
                  <w:pPr>
                    <w:pStyle w:val="3"/>
                    <w:ind w:left="204"/>
                    <w:jc w:val="both"/>
                    <w:rPr>
                      <w:sz w:val="20"/>
                      <w:szCs w:val="20"/>
                    </w:rPr>
                  </w:pPr>
                  <w:r>
                    <w:rPr>
                      <w:sz w:val="20"/>
                      <w:szCs w:val="20"/>
                    </w:rPr>
                    <w:t>8</w:t>
                  </w:r>
                </w:p>
              </w:tc>
              <w:tc>
                <w:tcPr>
                  <w:tcW w:w="5755" w:type="dxa"/>
                  <w:gridSpan w:val="3"/>
                  <w:shd w:val="clear" w:color="auto" w:fill="auto"/>
                  <w:vAlign w:val="center"/>
                </w:tcPr>
                <w:p>
                  <w:pPr>
                    <w:pStyle w:val="3"/>
                    <w:ind w:left="284"/>
                    <w:jc w:val="both"/>
                    <w:rPr>
                      <w:sz w:val="20"/>
                      <w:szCs w:val="20"/>
                    </w:rPr>
                  </w:pPr>
                  <w:bookmarkStart w:id="85" w:name="_1f7o1he" w:colFirst="0" w:colLast="0"/>
                  <w:bookmarkEnd w:id="85"/>
                  <w:r>
                    <w:rPr>
                      <w:sz w:val="20"/>
                      <w:szCs w:val="20"/>
                    </w:rPr>
                    <w:t>CCAP paraphé sur chaque page et signé assorti de la mention « lu et approuvé »</w:t>
                  </w:r>
                </w:p>
              </w:tc>
              <w:tc>
                <w:tcPr>
                  <w:tcW w:w="1798" w:type="dxa"/>
                  <w:shd w:val="clear" w:color="auto" w:fill="auto"/>
                  <w:vAlign w:val="center"/>
                </w:tcPr>
                <w:p>
                  <w:pPr>
                    <w:pStyle w:val="3"/>
                    <w:ind w:left="284"/>
                    <w:jc w:val="both"/>
                    <w:rPr>
                      <w:sz w:val="20"/>
                      <w:szCs w:val="20"/>
                    </w:rPr>
                  </w:pPr>
                  <w:r>
                    <w:rPr>
                      <w:sz w:val="20"/>
                      <w:szCs w:val="20"/>
                    </w:rPr>
                    <w:t>Oui/Non</w:t>
                  </w:r>
                </w:p>
              </w:tc>
            </w:tr>
            <w:tr>
              <w:trPr>
                <w:cantSplit/>
                <w:tblHeader/>
                <w:jc w:val="center"/>
              </w:trPr>
              <w:tc>
                <w:tcPr>
                  <w:tcW w:w="725" w:type="dxa"/>
                  <w:shd w:val="clear" w:color="auto" w:fill="auto"/>
                  <w:vAlign w:val="center"/>
                </w:tcPr>
                <w:p>
                  <w:pPr>
                    <w:pStyle w:val="3"/>
                    <w:ind w:left="204"/>
                    <w:jc w:val="both"/>
                    <w:rPr>
                      <w:sz w:val="20"/>
                      <w:szCs w:val="20"/>
                    </w:rPr>
                  </w:pPr>
                  <w:r>
                    <w:rPr>
                      <w:sz w:val="20"/>
                      <w:szCs w:val="20"/>
                    </w:rPr>
                    <w:t>9</w:t>
                  </w:r>
                </w:p>
              </w:tc>
              <w:tc>
                <w:tcPr>
                  <w:tcW w:w="5755" w:type="dxa"/>
                  <w:gridSpan w:val="3"/>
                  <w:shd w:val="clear" w:color="auto" w:fill="auto"/>
                  <w:vAlign w:val="center"/>
                </w:tcPr>
                <w:p>
                  <w:pPr>
                    <w:pStyle w:val="3"/>
                    <w:ind w:left="284"/>
                    <w:jc w:val="both"/>
                    <w:rPr>
                      <w:sz w:val="20"/>
                      <w:szCs w:val="20"/>
                    </w:rPr>
                  </w:pPr>
                  <w:r>
                    <w:rPr>
                      <w:sz w:val="20"/>
                      <w:szCs w:val="20"/>
                    </w:rPr>
                    <w:t>Fausses déclarations, manœuvres frauduleuses ou falsification des pièces</w:t>
                  </w:r>
                </w:p>
              </w:tc>
              <w:tc>
                <w:tcPr>
                  <w:tcW w:w="1798" w:type="dxa"/>
                  <w:shd w:val="clear" w:color="auto" w:fill="auto"/>
                  <w:vAlign w:val="center"/>
                </w:tcPr>
                <w:p>
                  <w:pPr>
                    <w:pStyle w:val="3"/>
                    <w:ind w:left="284"/>
                    <w:jc w:val="both"/>
                    <w:rPr>
                      <w:sz w:val="20"/>
                      <w:szCs w:val="20"/>
                    </w:rPr>
                  </w:pPr>
                  <w:r>
                    <w:rPr>
                      <w:sz w:val="20"/>
                      <w:szCs w:val="20"/>
                    </w:rPr>
                    <w:t>Oui/Non</w:t>
                  </w:r>
                </w:p>
              </w:tc>
            </w:tr>
            <w:tr>
              <w:trPr>
                <w:cantSplit/>
                <w:tblHeader/>
                <w:jc w:val="center"/>
              </w:trPr>
              <w:tc>
                <w:tcPr>
                  <w:tcW w:w="725" w:type="dxa"/>
                  <w:shd w:val="clear" w:color="auto" w:fill="auto"/>
                  <w:vAlign w:val="center"/>
                </w:tcPr>
                <w:p>
                  <w:pPr>
                    <w:pStyle w:val="3"/>
                    <w:ind w:left="204"/>
                    <w:jc w:val="both"/>
                    <w:rPr>
                      <w:sz w:val="20"/>
                      <w:szCs w:val="20"/>
                    </w:rPr>
                  </w:pPr>
                  <w:r>
                    <w:rPr>
                      <w:sz w:val="20"/>
                      <w:szCs w:val="20"/>
                    </w:rPr>
                    <w:t>10</w:t>
                  </w:r>
                </w:p>
              </w:tc>
              <w:tc>
                <w:tcPr>
                  <w:tcW w:w="5755" w:type="dxa"/>
                  <w:gridSpan w:val="3"/>
                  <w:shd w:val="clear" w:color="auto" w:fill="auto"/>
                  <w:vAlign w:val="center"/>
                </w:tcPr>
                <w:p>
                  <w:pPr>
                    <w:pStyle w:val="3"/>
                    <w:ind w:left="284"/>
                    <w:jc w:val="both"/>
                    <w:rPr>
                      <w:sz w:val="20"/>
                      <w:szCs w:val="20"/>
                    </w:rPr>
                  </w:pPr>
                  <w:r>
                    <w:rPr>
                      <w:sz w:val="20"/>
                      <w:szCs w:val="20"/>
                    </w:rPr>
                    <w:t>Non-respect d’au moins X critères essentiels (X renvoyant au seuil de qualification des offres techniques) sur Y (Y renvoyant au nombre total de critères essentiels) ;</w:t>
                  </w:r>
                </w:p>
              </w:tc>
              <w:tc>
                <w:tcPr>
                  <w:tcW w:w="1798" w:type="dxa"/>
                  <w:shd w:val="clear" w:color="auto" w:fill="auto"/>
                  <w:vAlign w:val="center"/>
                </w:tcPr>
                <w:p>
                  <w:pPr>
                    <w:pStyle w:val="3"/>
                    <w:ind w:left="284"/>
                    <w:jc w:val="both"/>
                    <w:rPr>
                      <w:sz w:val="20"/>
                      <w:szCs w:val="20"/>
                    </w:rPr>
                  </w:pPr>
                  <w:r>
                    <w:rPr>
                      <w:sz w:val="20"/>
                      <w:szCs w:val="20"/>
                    </w:rPr>
                    <w:t>Oui/Non</w:t>
                  </w:r>
                </w:p>
              </w:tc>
            </w:tr>
            <w:tr>
              <w:trPr>
                <w:cantSplit/>
                <w:tblHeader/>
                <w:jc w:val="center"/>
              </w:trPr>
              <w:tc>
                <w:tcPr>
                  <w:tcW w:w="725" w:type="dxa"/>
                  <w:shd w:val="clear" w:color="auto" w:fill="auto"/>
                  <w:vAlign w:val="center"/>
                </w:tcPr>
                <w:p>
                  <w:pPr>
                    <w:pStyle w:val="3"/>
                    <w:ind w:left="204"/>
                    <w:jc w:val="both"/>
                    <w:rPr>
                      <w:sz w:val="20"/>
                      <w:szCs w:val="20"/>
                    </w:rPr>
                  </w:pPr>
                  <w:r>
                    <w:rPr>
                      <w:sz w:val="20"/>
                      <w:szCs w:val="20"/>
                    </w:rPr>
                    <w:t>11</w:t>
                  </w:r>
                </w:p>
              </w:tc>
              <w:tc>
                <w:tcPr>
                  <w:tcW w:w="5755" w:type="dxa"/>
                  <w:gridSpan w:val="3"/>
                  <w:shd w:val="clear" w:color="auto" w:fill="auto"/>
                  <w:vAlign w:val="center"/>
                </w:tcPr>
                <w:p>
                  <w:pPr>
                    <w:pStyle w:val="3"/>
                    <w:ind w:left="284"/>
                    <w:jc w:val="both"/>
                    <w:rPr>
                      <w:sz w:val="20"/>
                      <w:szCs w:val="20"/>
                    </w:rPr>
                  </w:pPr>
                  <w:r>
                    <w:rPr>
                      <w:sz w:val="20"/>
                      <w:szCs w:val="20"/>
                    </w:rPr>
                    <w:t xml:space="preserve">Non-respect du format de fichiers des offres soumises en ligne ; </w:t>
                  </w:r>
                </w:p>
              </w:tc>
              <w:tc>
                <w:tcPr>
                  <w:tcW w:w="1798" w:type="dxa"/>
                  <w:shd w:val="clear" w:color="auto" w:fill="auto"/>
                  <w:vAlign w:val="center"/>
                </w:tcPr>
                <w:p>
                  <w:pPr>
                    <w:pStyle w:val="3"/>
                    <w:ind w:left="284"/>
                    <w:jc w:val="both"/>
                    <w:rPr>
                      <w:sz w:val="20"/>
                      <w:szCs w:val="20"/>
                    </w:rPr>
                  </w:pPr>
                  <w:r>
                    <w:rPr>
                      <w:sz w:val="20"/>
                      <w:szCs w:val="20"/>
                    </w:rPr>
                    <w:t>Oui/Non</w:t>
                  </w:r>
                </w:p>
              </w:tc>
            </w:tr>
            <w:tr>
              <w:trPr>
                <w:cantSplit/>
                <w:trHeight w:val="629" w:hRule="atLeast"/>
                <w:tblHeader/>
                <w:jc w:val="center"/>
              </w:trPr>
              <w:tc>
                <w:tcPr>
                  <w:tcW w:w="725" w:type="dxa"/>
                  <w:shd w:val="clear" w:color="auto" w:fill="auto"/>
                  <w:vAlign w:val="center"/>
                </w:tcPr>
                <w:p>
                  <w:pPr>
                    <w:pStyle w:val="3"/>
                    <w:ind w:left="204"/>
                    <w:jc w:val="both"/>
                    <w:rPr>
                      <w:sz w:val="20"/>
                      <w:szCs w:val="20"/>
                    </w:rPr>
                  </w:pPr>
                  <w:r>
                    <w:rPr>
                      <w:sz w:val="20"/>
                      <w:szCs w:val="20"/>
                    </w:rPr>
                    <w:t>12</w:t>
                  </w:r>
                </w:p>
              </w:tc>
              <w:tc>
                <w:tcPr>
                  <w:tcW w:w="5755" w:type="dxa"/>
                  <w:gridSpan w:val="3"/>
                  <w:shd w:val="clear" w:color="auto" w:fill="auto"/>
                  <w:vAlign w:val="center"/>
                </w:tcPr>
                <w:p>
                  <w:pPr>
                    <w:pStyle w:val="3"/>
                    <w:ind w:left="284"/>
                    <w:jc w:val="both"/>
                    <w:rPr>
                      <w:sz w:val="20"/>
                      <w:szCs w:val="20"/>
                    </w:rPr>
                  </w:pPr>
                  <w:r>
                    <w:rPr>
                      <w:sz w:val="20"/>
                      <w:szCs w:val="20"/>
                    </w:rPr>
                    <w:t>Absence d’une déclaration sur l’honneur de n’avoir pas abandonné de chantier durant les trois dernières années</w:t>
                  </w:r>
                </w:p>
              </w:tc>
              <w:tc>
                <w:tcPr>
                  <w:tcW w:w="1798" w:type="dxa"/>
                  <w:shd w:val="clear" w:color="auto" w:fill="auto"/>
                  <w:vAlign w:val="center"/>
                </w:tcPr>
                <w:p>
                  <w:pPr>
                    <w:pStyle w:val="3"/>
                    <w:ind w:left="284"/>
                    <w:jc w:val="both"/>
                    <w:rPr>
                      <w:sz w:val="20"/>
                      <w:szCs w:val="20"/>
                    </w:rPr>
                  </w:pPr>
                  <w:r>
                    <w:rPr>
                      <w:sz w:val="20"/>
                      <w:szCs w:val="20"/>
                    </w:rPr>
                    <w:t>Oui/Non</w:t>
                  </w:r>
                </w:p>
              </w:tc>
            </w:tr>
          </w:tbl>
          <w:p>
            <w:pPr>
              <w:pStyle w:val="3"/>
              <w:widowControl w:val="0"/>
              <w:spacing w:line="360" w:lineRule="auto"/>
              <w:jc w:val="both"/>
              <w:rPr>
                <w:b/>
                <w:i/>
                <w:color w:val="FF0000"/>
                <w:sz w:val="10"/>
                <w:szCs w:val="10"/>
              </w:rPr>
            </w:pPr>
          </w:p>
          <w:p>
            <w:pPr>
              <w:pStyle w:val="3"/>
              <w:widowControl w:val="0"/>
              <w:numPr>
                <w:ilvl w:val="0"/>
                <w:numId w:val="33"/>
              </w:numPr>
              <w:spacing w:line="360" w:lineRule="auto"/>
              <w:jc w:val="both"/>
              <w:rPr>
                <w:b/>
                <w:sz w:val="20"/>
                <w:szCs w:val="20"/>
              </w:rPr>
            </w:pPr>
            <w:r>
              <w:rPr>
                <w:b/>
              </w:rPr>
              <w:t xml:space="preserve">Critères essentiels </w:t>
            </w:r>
          </w:p>
          <w:p>
            <w:pPr>
              <w:pStyle w:val="3"/>
              <w:widowControl w:val="0"/>
              <w:spacing w:line="360" w:lineRule="auto"/>
              <w:jc w:val="both"/>
              <w:rPr>
                <w:b/>
                <w:i/>
                <w:smallCaps/>
              </w:rPr>
            </w:pPr>
            <w:r>
              <w:t xml:space="preserve">L’évaluation des critères essentiels ou relatifs à la qualification des Soumissionnaires portera à titre indicatif sur : </w:t>
            </w:r>
          </w:p>
          <w:p>
            <w:pPr>
              <w:pStyle w:val="3"/>
              <w:numPr>
                <w:ilvl w:val="0"/>
                <w:numId w:val="35"/>
              </w:numPr>
              <w:spacing w:line="360" w:lineRule="auto"/>
              <w:jc w:val="both"/>
              <w:rPr>
                <w:b/>
                <w:i/>
                <w:sz w:val="20"/>
                <w:szCs w:val="20"/>
                <w:u w:val="single"/>
              </w:rPr>
            </w:pPr>
            <w:r>
              <w:rPr>
                <w:b/>
                <w:i/>
              </w:rPr>
              <w:t xml:space="preserve">Les critères et sous-critères essentiels détaillés,  </w:t>
            </w:r>
          </w:p>
          <w:p>
            <w:pPr>
              <w:pStyle w:val="3"/>
              <w:numPr>
                <w:ilvl w:val="0"/>
                <w:numId w:val="35"/>
              </w:numPr>
              <w:spacing w:line="360" w:lineRule="auto"/>
              <w:jc w:val="both"/>
              <w:rPr>
                <w:b/>
                <w:i/>
                <w:sz w:val="20"/>
                <w:szCs w:val="20"/>
                <w:u w:val="single"/>
              </w:rPr>
            </w:pPr>
            <w:r>
              <w:rPr>
                <w:b/>
                <w:i/>
              </w:rPr>
              <w:t xml:space="preserve">les modalités de validation d'un critère à partir du nombre de sous-critères respectés </w:t>
            </w:r>
          </w:p>
          <w:p>
            <w:pPr>
              <w:pStyle w:val="3"/>
              <w:widowControl w:val="0"/>
              <w:numPr>
                <w:ilvl w:val="0"/>
                <w:numId w:val="8"/>
              </w:numPr>
              <w:spacing w:before="44" w:line="360" w:lineRule="auto"/>
              <w:ind w:left="720" w:right="132" w:hanging="360"/>
              <w:jc w:val="both"/>
              <w:rPr>
                <w:color w:val="000000"/>
              </w:rPr>
            </w:pPr>
            <w:bookmarkStart w:id="86" w:name="_3z7bk57" w:colFirst="0" w:colLast="0"/>
            <w:bookmarkEnd w:id="86"/>
            <w:r>
              <w:rPr>
                <w:b/>
                <w:color w:val="000000"/>
              </w:rPr>
              <w:t>la présentation de l’offre</w:t>
            </w:r>
            <w:r>
              <w:rPr>
                <w:color w:val="000000"/>
              </w:rPr>
              <w:t> ;</w:t>
            </w:r>
          </w:p>
          <w:p>
            <w:pPr>
              <w:pStyle w:val="3"/>
              <w:spacing w:line="360" w:lineRule="auto"/>
              <w:ind w:left="720"/>
              <w:jc w:val="both"/>
              <w:rPr>
                <w:color w:val="000000"/>
                <w:u w:val="single"/>
              </w:rPr>
            </w:pPr>
            <w:r>
              <w:rPr>
                <w:color w:val="000000"/>
                <w:u w:val="single"/>
              </w:rPr>
              <w:t xml:space="preserve">(Lisibilité, pièces dans l’ordre du RPAO, sommaires, intercalaire de couleur, pagination…) </w:t>
            </w:r>
          </w:p>
          <w:p>
            <w:pPr>
              <w:pStyle w:val="3"/>
              <w:spacing w:line="244" w:lineRule="auto"/>
              <w:ind w:left="278"/>
              <w:rPr>
                <w:b/>
                <w:i/>
                <w:color w:val="000000"/>
              </w:rPr>
            </w:pPr>
            <w:r>
              <w:rPr>
                <w:b/>
                <w:i/>
                <w:color w:val="000000"/>
              </w:rPr>
              <w:t>[à préciser  validation de ……………………..sous  critères</w:t>
            </w:r>
            <w:r>
              <w:rPr>
                <w:i/>
                <w:color w:val="000000"/>
              </w:rPr>
              <w:t xml:space="preserve"> </w:t>
            </w:r>
            <w:r>
              <w:rPr>
                <w:b/>
                <w:i/>
                <w:color w:val="000000"/>
              </w:rPr>
              <w:t>par critère   pour obtenir  un oui]</w:t>
            </w:r>
          </w:p>
          <w:p>
            <w:pPr>
              <w:pStyle w:val="3"/>
              <w:numPr>
                <w:ilvl w:val="0"/>
                <w:numId w:val="6"/>
              </w:numPr>
              <w:spacing w:line="360" w:lineRule="auto"/>
              <w:jc w:val="both"/>
              <w:rPr>
                <w:b/>
                <w:color w:val="000000"/>
                <w:u w:val="single"/>
              </w:rPr>
            </w:pPr>
            <w:bookmarkStart w:id="87" w:name="_2eclud0" w:colFirst="0" w:colLast="0"/>
            <w:bookmarkEnd w:id="87"/>
            <w:r>
              <w:rPr>
                <w:b/>
                <w:color w:val="000000"/>
                <w:u w:val="single"/>
              </w:rPr>
              <w:t>Expérience</w:t>
            </w:r>
          </w:p>
          <w:p>
            <w:pPr>
              <w:pStyle w:val="3"/>
              <w:numPr>
                <w:ilvl w:val="0"/>
                <w:numId w:val="6"/>
              </w:numPr>
              <w:spacing w:line="360" w:lineRule="auto"/>
              <w:jc w:val="both"/>
              <w:rPr>
                <w:b/>
                <w:color w:val="000000"/>
                <w:u w:val="single"/>
              </w:rPr>
            </w:pPr>
            <w:r>
              <w:rPr>
                <w:b/>
                <w:color w:val="000000"/>
                <w:u w:val="single"/>
              </w:rPr>
              <w:t xml:space="preserve">Expérience générale en travaux </w:t>
            </w:r>
          </w:p>
          <w:p>
            <w:pPr>
              <w:pStyle w:val="3"/>
              <w:spacing w:line="360" w:lineRule="auto"/>
              <w:jc w:val="both"/>
              <w:rPr>
                <w:b/>
                <w:sz w:val="20"/>
                <w:szCs w:val="20"/>
              </w:rPr>
            </w:pPr>
            <w:r>
              <w:t xml:space="preserve">Expérience dans les marchés de travaux similaires (au moins 03) de marchés exécutés à titre d’entrepreneur au cours des </w:t>
            </w:r>
            <w:r>
              <w:rPr>
                <w:i/>
              </w:rPr>
              <w:t xml:space="preserve">trois </w:t>
            </w:r>
            <w:r>
              <w:t xml:space="preserve">dernières années qui précèdent la date limite de </w:t>
            </w:r>
            <w:r>
              <w:rPr>
                <w:b/>
              </w:rPr>
              <w:t>dépôt des soumissions.</w:t>
            </w:r>
          </w:p>
          <w:p>
            <w:pPr>
              <w:pStyle w:val="3"/>
              <w:spacing w:line="360" w:lineRule="auto"/>
              <w:ind w:left="1440"/>
              <w:jc w:val="both"/>
              <w:rPr>
                <w:b/>
                <w:i/>
                <w:sz w:val="20"/>
                <w:szCs w:val="20"/>
              </w:rPr>
            </w:pPr>
            <w:r>
              <w:rPr>
                <w:b/>
              </w:rPr>
              <w:t xml:space="preserve">Sous-critère </w:t>
            </w:r>
            <w:r>
              <w:rPr>
                <w:b/>
                <w:i/>
              </w:rPr>
              <w:t>[à compléter]</w:t>
            </w:r>
            <w:r>
              <w:rPr>
                <w:b/>
                <w:i/>
              </w:rPr>
              <w:tab/>
            </w:r>
            <w:r>
              <w:rPr>
                <w:b/>
                <w:i/>
              </w:rPr>
              <w:t xml:space="preserve"> </w:t>
            </w:r>
          </w:p>
          <w:p>
            <w:pPr>
              <w:pStyle w:val="3"/>
              <w:spacing w:line="360" w:lineRule="auto"/>
              <w:ind w:left="1440"/>
              <w:jc w:val="both"/>
              <w:rPr>
                <w:b/>
                <w:i/>
                <w:sz w:val="20"/>
                <w:szCs w:val="20"/>
              </w:rPr>
            </w:pPr>
            <w:r>
              <w:rPr>
                <w:b/>
              </w:rPr>
              <w:t xml:space="preserve">Sous-critère </w:t>
            </w:r>
            <w:r>
              <w:rPr>
                <w:b/>
                <w:i/>
              </w:rPr>
              <w:t>[à compléter]</w:t>
            </w:r>
            <w:r>
              <w:rPr>
                <w:b/>
                <w:i/>
              </w:rPr>
              <w:tab/>
            </w:r>
          </w:p>
          <w:p>
            <w:pPr>
              <w:pStyle w:val="3"/>
              <w:spacing w:line="360" w:lineRule="auto"/>
              <w:ind w:left="1440"/>
              <w:jc w:val="both"/>
              <w:rPr>
                <w:b/>
                <w:i/>
                <w:sz w:val="20"/>
                <w:szCs w:val="20"/>
              </w:rPr>
            </w:pPr>
            <w:r>
              <w:rPr>
                <w:b/>
                <w:i/>
              </w:rPr>
              <w:t xml:space="preserve"> </w:t>
            </w:r>
            <w:r>
              <w:rPr>
                <w:b/>
              </w:rPr>
              <w:t xml:space="preserve">Sous-critère </w:t>
            </w:r>
            <w:r>
              <w:rPr>
                <w:b/>
                <w:i/>
              </w:rPr>
              <w:t>[à compléter]</w:t>
            </w:r>
            <w:r>
              <w:rPr>
                <w:b/>
                <w:i/>
              </w:rPr>
              <w:tab/>
            </w:r>
          </w:p>
          <w:p>
            <w:pPr>
              <w:pStyle w:val="3"/>
              <w:numPr>
                <w:ilvl w:val="0"/>
                <w:numId w:val="6"/>
              </w:numPr>
              <w:spacing w:line="360" w:lineRule="auto"/>
              <w:jc w:val="both"/>
              <w:rPr>
                <w:color w:val="000000"/>
                <w:sz w:val="20"/>
                <w:szCs w:val="20"/>
                <w:u w:val="single"/>
              </w:rPr>
            </w:pPr>
            <w:r>
              <w:rPr>
                <w:color w:val="000000"/>
                <w:sz w:val="20"/>
                <w:szCs w:val="20"/>
                <w:u w:val="single"/>
              </w:rPr>
              <w:t xml:space="preserve">Expérience spécifique en travaux similaires (à ceux de l’Appel d’Offres) </w:t>
            </w:r>
          </w:p>
          <w:p>
            <w:pPr>
              <w:pStyle w:val="3"/>
              <w:spacing w:line="360" w:lineRule="auto"/>
              <w:ind w:right="137"/>
              <w:jc w:val="both"/>
              <w:rPr>
                <w:color w:val="000000"/>
                <w:sz w:val="20"/>
                <w:szCs w:val="20"/>
              </w:rPr>
            </w:pPr>
            <w:r>
              <w:rPr>
                <w:color w:val="000000"/>
                <w:sz w:val="20"/>
                <w:szCs w:val="20"/>
              </w:rPr>
              <w:t xml:space="preserve">Avoir effectivement exécuté de manière satisfaisante et achevé pour l’essentiel, en tant qu’entrepreneur, ou sous-traitant au moins (03) marchés similaires aux travaux de </w:t>
            </w:r>
            <w:r>
              <w:rPr>
                <w:i/>
                <w:color w:val="000000"/>
                <w:sz w:val="20"/>
                <w:szCs w:val="20"/>
              </w:rPr>
              <w:t>(à préciser activités analogues à celle faisant l’objet des travaux)</w:t>
            </w:r>
            <w:r>
              <w:rPr>
                <w:color w:val="000000"/>
                <w:sz w:val="20"/>
                <w:szCs w:val="20"/>
              </w:rPr>
              <w:t xml:space="preserve">  au cours des </w:t>
            </w:r>
            <w:r>
              <w:rPr>
                <w:i/>
                <w:color w:val="000000"/>
                <w:sz w:val="20"/>
                <w:szCs w:val="20"/>
              </w:rPr>
              <w:t xml:space="preserve">trois </w:t>
            </w:r>
            <w:r>
              <w:rPr>
                <w:color w:val="000000"/>
                <w:sz w:val="20"/>
                <w:szCs w:val="20"/>
              </w:rPr>
              <w:t xml:space="preserve"> dernières années avec une valeur minimale de 10 MILLIONS .</w:t>
            </w:r>
          </w:p>
          <w:p>
            <w:pPr>
              <w:pStyle w:val="3"/>
              <w:spacing w:line="360" w:lineRule="auto"/>
              <w:ind w:right="137"/>
              <w:jc w:val="both"/>
              <w:rPr>
                <w:color w:val="000000"/>
                <w:sz w:val="20"/>
                <w:szCs w:val="20"/>
              </w:rPr>
            </w:pPr>
            <w:r>
              <w:rPr>
                <w:color w:val="000000"/>
                <w:sz w:val="20"/>
                <w:szCs w:val="20"/>
              </w:rPr>
              <w:t xml:space="preserve"> La similitude portera sur la taille physique la complexité, les méthodes/technologies ou autres caractéristiques.</w:t>
            </w:r>
          </w:p>
          <w:p>
            <w:pPr>
              <w:pStyle w:val="3"/>
              <w:spacing w:line="244" w:lineRule="auto"/>
              <w:ind w:right="137"/>
              <w:rPr>
                <w:i/>
                <w:color w:val="000000"/>
                <w:sz w:val="20"/>
                <w:szCs w:val="20"/>
              </w:rPr>
            </w:pPr>
            <w:r>
              <w:rPr>
                <w:i/>
                <w:color w:val="000000"/>
                <w:sz w:val="20"/>
                <w:szCs w:val="20"/>
              </w:rPr>
              <w:t xml:space="preserve">Ces références devront être accompagnées des pièces justificatives, en l’occurrence : </w:t>
            </w:r>
          </w:p>
          <w:p>
            <w:pPr>
              <w:pStyle w:val="3"/>
              <w:numPr>
                <w:ilvl w:val="0"/>
                <w:numId w:val="36"/>
              </w:numPr>
              <w:spacing w:line="244" w:lineRule="auto"/>
              <w:ind w:right="137"/>
              <w:rPr>
                <w:i/>
                <w:color w:val="000000"/>
                <w:sz w:val="20"/>
                <w:szCs w:val="20"/>
              </w:rPr>
            </w:pPr>
            <w:r>
              <w:rPr>
                <w:i/>
                <w:color w:val="000000"/>
                <w:sz w:val="20"/>
                <w:szCs w:val="20"/>
              </w:rPr>
              <w:t>Copies des premières et dernières pages du contrat ;</w:t>
            </w:r>
          </w:p>
          <w:p>
            <w:pPr>
              <w:pStyle w:val="3"/>
              <w:numPr>
                <w:ilvl w:val="0"/>
                <w:numId w:val="36"/>
              </w:numPr>
              <w:spacing w:line="244" w:lineRule="auto"/>
              <w:ind w:right="137"/>
              <w:rPr>
                <w:i/>
                <w:color w:val="000000"/>
                <w:sz w:val="20"/>
                <w:szCs w:val="20"/>
              </w:rPr>
            </w:pPr>
            <w:r>
              <w:rPr>
                <w:i/>
                <w:color w:val="000000"/>
                <w:sz w:val="20"/>
                <w:szCs w:val="20"/>
              </w:rPr>
              <w:t>PV de réception provisoire ou définitive ou attestation de bonne fin signée du Maitre d’Ouvrage ;</w:t>
            </w:r>
          </w:p>
          <w:p>
            <w:pPr>
              <w:pStyle w:val="3"/>
              <w:numPr>
                <w:ilvl w:val="0"/>
                <w:numId w:val="36"/>
              </w:numPr>
              <w:spacing w:line="244" w:lineRule="auto"/>
              <w:ind w:right="137"/>
              <w:rPr>
                <w:i/>
                <w:color w:val="000000"/>
                <w:sz w:val="20"/>
                <w:szCs w:val="20"/>
              </w:rPr>
            </w:pPr>
            <w:r>
              <w:rPr>
                <w:i/>
                <w:color w:val="000000"/>
                <w:sz w:val="20"/>
                <w:szCs w:val="20"/>
              </w:rPr>
              <w:t xml:space="preserve">Autres justificatifs le cas échéant et à préciser  </w:t>
            </w:r>
          </w:p>
          <w:p>
            <w:pPr>
              <w:pStyle w:val="3"/>
              <w:spacing w:line="360" w:lineRule="auto"/>
              <w:ind w:right="137"/>
              <w:jc w:val="both"/>
              <w:rPr>
                <w:i/>
                <w:color w:val="000000"/>
                <w:sz w:val="20"/>
                <w:szCs w:val="20"/>
              </w:rPr>
            </w:pPr>
            <w:r>
              <w:rPr>
                <w:i/>
                <w:color w:val="000000"/>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pPr>
              <w:pStyle w:val="3"/>
              <w:spacing w:line="360" w:lineRule="auto"/>
              <w:ind w:right="137"/>
              <w:jc w:val="both"/>
              <w:rPr>
                <w:i/>
                <w:color w:val="000000"/>
                <w:sz w:val="20"/>
                <w:szCs w:val="20"/>
              </w:rPr>
            </w:pPr>
            <w:r>
              <w:rPr>
                <w:i/>
                <w:color w:val="000000"/>
                <w:sz w:val="20"/>
                <w:szCs w:val="20"/>
              </w:rPr>
              <w:t>2. La période couverte (à préciser).</w:t>
            </w:r>
          </w:p>
          <w:p>
            <w:pPr>
              <w:pStyle w:val="3"/>
              <w:spacing w:line="360" w:lineRule="auto"/>
              <w:ind w:right="137"/>
              <w:jc w:val="both"/>
              <w:rPr>
                <w:i/>
                <w:color w:val="000000"/>
                <w:sz w:val="20"/>
                <w:szCs w:val="20"/>
              </w:rPr>
            </w:pPr>
            <w:r>
              <w:rPr>
                <w:i/>
                <w:color w:val="000000"/>
                <w:sz w:val="20"/>
                <w:szCs w:val="20"/>
              </w:rPr>
              <w:t>3. Le montant indiqué pourrait être d’environ 75% de la valeur estimée du marché, en montant arrondi.]</w:t>
            </w:r>
          </w:p>
          <w:p>
            <w:pPr>
              <w:pStyle w:val="3"/>
              <w:spacing w:line="360" w:lineRule="auto"/>
              <w:ind w:right="137"/>
              <w:rPr>
                <w:i/>
                <w:sz w:val="20"/>
                <w:szCs w:val="20"/>
              </w:rPr>
            </w:pPr>
            <w:r>
              <w:rPr>
                <w:i/>
                <w:sz w:val="20"/>
                <w:szCs w:val="20"/>
              </w:rPr>
              <w:t>4. Pour les marchés dans lesquels la période de garantie n’est pas encore échue, le PV de réception provisoire  fait foi le cas échéant le PV de réception définitive fait foi</w:t>
            </w:r>
            <w:r>
              <w:rPr>
                <w:b/>
                <w:i/>
                <w:sz w:val="20"/>
                <w:szCs w:val="20"/>
              </w:rPr>
              <w:t>]</w:t>
            </w:r>
            <w:r>
              <w:rPr>
                <w:i/>
                <w:sz w:val="20"/>
                <w:szCs w:val="20"/>
              </w:rPr>
              <w:t xml:space="preserve">. </w:t>
            </w:r>
          </w:p>
          <w:p>
            <w:pPr>
              <w:pStyle w:val="3"/>
              <w:spacing w:line="360" w:lineRule="auto"/>
              <w:ind w:right="137"/>
              <w:jc w:val="both"/>
              <w:rPr>
                <w:i/>
                <w:color w:val="000000"/>
                <w:sz w:val="20"/>
                <w:szCs w:val="20"/>
              </w:rPr>
            </w:pPr>
          </w:p>
          <w:p>
            <w:pPr>
              <w:pStyle w:val="3"/>
              <w:numPr>
                <w:ilvl w:val="0"/>
                <w:numId w:val="6"/>
              </w:numPr>
              <w:spacing w:line="360" w:lineRule="auto"/>
              <w:jc w:val="both"/>
              <w:rPr>
                <w:color w:val="000000"/>
                <w:sz w:val="20"/>
                <w:szCs w:val="20"/>
                <w:u w:val="single"/>
              </w:rPr>
            </w:pPr>
            <w:r>
              <w:rPr>
                <w:color w:val="000000"/>
                <w:sz w:val="20"/>
                <w:szCs w:val="20"/>
                <w:u w:val="single"/>
              </w:rPr>
              <w:t>Personnel ;</w:t>
            </w:r>
          </w:p>
          <w:p>
            <w:pPr>
              <w:pStyle w:val="3"/>
              <w:spacing w:line="360" w:lineRule="auto"/>
              <w:jc w:val="both"/>
              <w:rPr>
                <w:sz w:val="20"/>
                <w:szCs w:val="20"/>
              </w:rPr>
            </w:pPr>
            <w:r>
              <w:rPr>
                <w:sz w:val="20"/>
                <w:szCs w:val="20"/>
              </w:rPr>
              <w:t>Le Candidat doit établir qu’il dispose du personnel requis pour les postes-clés exigés, notamment :</w:t>
            </w:r>
          </w:p>
          <w:tbl>
            <w:tblPr>
              <w:tblStyle w:val="30"/>
              <w:tblW w:w="8179" w:type="dxa"/>
              <w:tblInd w:w="457" w:type="dxa"/>
              <w:tblLayout w:type="fixed"/>
              <w:tblCellMar>
                <w:top w:w="0" w:type="dxa"/>
                <w:left w:w="0" w:type="dxa"/>
                <w:bottom w:w="0" w:type="dxa"/>
                <w:right w:w="0" w:type="dxa"/>
              </w:tblCellMar>
            </w:tblPr>
            <w:tblGrid>
              <w:gridCol w:w="1942"/>
              <w:gridCol w:w="1134"/>
              <w:gridCol w:w="1134"/>
              <w:gridCol w:w="1281"/>
              <w:gridCol w:w="1182"/>
              <w:gridCol w:w="1506"/>
            </w:tblGrid>
            <w:tr>
              <w:tblPrEx>
                <w:tblLayout w:type="fixed"/>
              </w:tblPrEx>
              <w:trPr>
                <w:cantSplit/>
                <w:trHeight w:val="1369" w:hRule="atLeast"/>
                <w:tblHeader/>
              </w:trPr>
              <w:tc>
                <w:tcPr>
                  <w:tcW w:w="1942" w:type="dxa"/>
                  <w:tcBorders>
                    <w:top w:val="single" w:color="221F1F" w:sz="4" w:space="0"/>
                    <w:left w:val="single" w:color="221F1F" w:sz="4" w:space="0"/>
                    <w:bottom w:val="single" w:color="221F1F" w:sz="4" w:space="0"/>
                    <w:right w:val="single" w:color="221F1F" w:sz="4" w:space="0"/>
                  </w:tcBorders>
                  <w:shd w:val="clear" w:color="auto" w:fill="D9D9D9"/>
                  <w:vAlign w:val="center"/>
                </w:tcPr>
                <w:p>
                  <w:pPr>
                    <w:pStyle w:val="3"/>
                    <w:widowControl w:val="0"/>
                    <w:tabs>
                      <w:tab w:val="left" w:pos="3295"/>
                    </w:tabs>
                    <w:ind w:right="133"/>
                    <w:jc w:val="center"/>
                    <w:rPr>
                      <w:sz w:val="20"/>
                      <w:szCs w:val="20"/>
                    </w:rPr>
                  </w:pPr>
                  <w:r>
                    <w:rPr>
                      <w:b/>
                      <w:sz w:val="20"/>
                      <w:szCs w:val="20"/>
                    </w:rPr>
                    <w:t>Nom</w:t>
                  </w:r>
                </w:p>
              </w:tc>
              <w:tc>
                <w:tcPr>
                  <w:tcW w:w="1134" w:type="dxa"/>
                  <w:tcBorders>
                    <w:top w:val="single" w:color="221F1F" w:sz="4" w:space="0"/>
                    <w:left w:val="single" w:color="221F1F" w:sz="4" w:space="0"/>
                    <w:bottom w:val="single" w:color="221F1F" w:sz="4" w:space="0"/>
                    <w:right w:val="single" w:color="221F1F" w:sz="4" w:space="0"/>
                  </w:tcBorders>
                  <w:shd w:val="clear" w:color="auto" w:fill="D9D9D9"/>
                  <w:vAlign w:val="center"/>
                </w:tcPr>
                <w:p>
                  <w:pPr>
                    <w:pStyle w:val="3"/>
                    <w:widowControl w:val="0"/>
                    <w:tabs>
                      <w:tab w:val="left" w:pos="3295"/>
                    </w:tabs>
                    <w:ind w:right="283"/>
                    <w:jc w:val="center"/>
                    <w:rPr>
                      <w:b/>
                      <w:sz w:val="20"/>
                      <w:szCs w:val="20"/>
                    </w:rPr>
                  </w:pPr>
                  <w:r>
                    <w:rPr>
                      <w:b/>
                      <w:sz w:val="20"/>
                      <w:szCs w:val="20"/>
                    </w:rPr>
                    <w:t>Fonction proposée</w:t>
                  </w:r>
                </w:p>
              </w:tc>
              <w:tc>
                <w:tcPr>
                  <w:tcW w:w="1134" w:type="dxa"/>
                  <w:tcBorders>
                    <w:top w:val="single" w:color="221F1F" w:sz="4" w:space="0"/>
                    <w:left w:val="single" w:color="221F1F" w:sz="4" w:space="0"/>
                    <w:bottom w:val="single" w:color="221F1F" w:sz="4" w:space="0"/>
                    <w:right w:val="single" w:color="221F1F" w:sz="4" w:space="0"/>
                  </w:tcBorders>
                  <w:shd w:val="clear" w:color="auto" w:fill="D9D9D9"/>
                  <w:vAlign w:val="center"/>
                </w:tcPr>
                <w:p>
                  <w:pPr>
                    <w:pStyle w:val="3"/>
                    <w:widowControl w:val="0"/>
                    <w:tabs>
                      <w:tab w:val="left" w:pos="3295"/>
                    </w:tabs>
                    <w:ind w:right="283"/>
                    <w:jc w:val="center"/>
                    <w:rPr>
                      <w:sz w:val="20"/>
                      <w:szCs w:val="20"/>
                    </w:rPr>
                  </w:pPr>
                  <w:r>
                    <w:rPr>
                      <w:b/>
                      <w:sz w:val="20"/>
                      <w:szCs w:val="20"/>
                    </w:rPr>
                    <w:t>Qualifiction minimale</w:t>
                  </w:r>
                </w:p>
              </w:tc>
              <w:tc>
                <w:tcPr>
                  <w:tcW w:w="1281" w:type="dxa"/>
                  <w:tcBorders>
                    <w:top w:val="single" w:color="221F1F" w:sz="4" w:space="0"/>
                    <w:left w:val="single" w:color="221F1F" w:sz="4" w:space="0"/>
                    <w:bottom w:val="single" w:color="221F1F" w:sz="4" w:space="0"/>
                    <w:right w:val="single" w:color="221F1F" w:sz="4" w:space="0"/>
                  </w:tcBorders>
                  <w:shd w:val="clear" w:color="auto" w:fill="D9D9D9"/>
                  <w:vAlign w:val="center"/>
                </w:tcPr>
                <w:p>
                  <w:pPr>
                    <w:pStyle w:val="3"/>
                    <w:widowControl w:val="0"/>
                    <w:ind w:right="-20"/>
                    <w:jc w:val="center"/>
                    <w:rPr>
                      <w:b/>
                      <w:sz w:val="20"/>
                      <w:szCs w:val="20"/>
                    </w:rPr>
                  </w:pPr>
                  <w:r>
                    <w:rPr>
                      <w:b/>
                      <w:sz w:val="20"/>
                      <w:szCs w:val="20"/>
                    </w:rPr>
                    <w:t>Année d’Expérience</w:t>
                  </w:r>
                </w:p>
                <w:p>
                  <w:pPr>
                    <w:pStyle w:val="3"/>
                    <w:widowControl w:val="0"/>
                    <w:ind w:right="-20"/>
                    <w:jc w:val="center"/>
                    <w:rPr>
                      <w:b/>
                      <w:sz w:val="20"/>
                      <w:szCs w:val="20"/>
                    </w:rPr>
                  </w:pPr>
                  <w:r>
                    <w:rPr>
                      <w:b/>
                      <w:sz w:val="20"/>
                      <w:szCs w:val="20"/>
                    </w:rPr>
                    <w:t>Générale</w:t>
                  </w:r>
                </w:p>
              </w:tc>
              <w:tc>
                <w:tcPr>
                  <w:tcW w:w="1182" w:type="dxa"/>
                  <w:tcBorders>
                    <w:top w:val="single" w:color="221F1F" w:sz="4" w:space="0"/>
                    <w:left w:val="single" w:color="221F1F" w:sz="4" w:space="0"/>
                    <w:bottom w:val="single" w:color="221F1F" w:sz="4" w:space="0"/>
                    <w:right w:val="single" w:color="221F1F" w:sz="4" w:space="0"/>
                  </w:tcBorders>
                  <w:shd w:val="clear" w:color="auto" w:fill="D9D9D9"/>
                  <w:vAlign w:val="center"/>
                </w:tcPr>
                <w:p>
                  <w:pPr>
                    <w:pStyle w:val="3"/>
                    <w:widowControl w:val="0"/>
                    <w:ind w:right="-20"/>
                    <w:jc w:val="center"/>
                    <w:rPr>
                      <w:b/>
                      <w:sz w:val="20"/>
                      <w:szCs w:val="20"/>
                    </w:rPr>
                  </w:pPr>
                  <w:r>
                    <w:rPr>
                      <w:b/>
                      <w:sz w:val="20"/>
                      <w:szCs w:val="20"/>
                    </w:rPr>
                    <w:t>Expérience Spécifique</w:t>
                  </w:r>
                </w:p>
                <w:p>
                  <w:pPr>
                    <w:pStyle w:val="3"/>
                    <w:widowControl w:val="0"/>
                    <w:ind w:right="-20"/>
                    <w:jc w:val="center"/>
                    <w:rPr>
                      <w:b/>
                      <w:sz w:val="20"/>
                      <w:szCs w:val="20"/>
                    </w:rPr>
                  </w:pPr>
                  <w:r>
                    <w:rPr>
                      <w:b/>
                      <w:sz w:val="20"/>
                      <w:szCs w:val="20"/>
                    </w:rPr>
                    <w:t>En</w:t>
                  </w:r>
                </w:p>
                <w:p>
                  <w:pPr>
                    <w:pStyle w:val="3"/>
                    <w:widowControl w:val="0"/>
                    <w:ind w:right="-20"/>
                    <w:jc w:val="center"/>
                    <w:rPr>
                      <w:b/>
                      <w:sz w:val="20"/>
                      <w:szCs w:val="20"/>
                    </w:rPr>
                  </w:pPr>
                  <w:r>
                    <w:rPr>
                      <w:b/>
                      <w:sz w:val="20"/>
                      <w:szCs w:val="20"/>
                    </w:rPr>
                    <w:t>Terme de projets similaires</w:t>
                  </w:r>
                </w:p>
              </w:tc>
              <w:tc>
                <w:tcPr>
                  <w:tcW w:w="1506" w:type="dxa"/>
                  <w:tcBorders>
                    <w:top w:val="single" w:color="221F1F" w:sz="4" w:space="0"/>
                    <w:left w:val="single" w:color="221F1F" w:sz="4" w:space="0"/>
                    <w:bottom w:val="single" w:color="221F1F" w:sz="4" w:space="0"/>
                    <w:right w:val="single" w:color="221F1F" w:sz="4" w:space="0"/>
                  </w:tcBorders>
                  <w:shd w:val="clear" w:color="auto" w:fill="D9D9D9"/>
                  <w:vAlign w:val="center"/>
                </w:tcPr>
                <w:p>
                  <w:pPr>
                    <w:pStyle w:val="3"/>
                    <w:widowControl w:val="0"/>
                    <w:ind w:left="572" w:right="-20" w:hanging="595"/>
                    <w:jc w:val="center"/>
                    <w:rPr>
                      <w:b/>
                      <w:sz w:val="20"/>
                      <w:szCs w:val="20"/>
                    </w:rPr>
                  </w:pPr>
                  <w:r>
                    <w:rPr>
                      <w:b/>
                      <w:sz w:val="20"/>
                      <w:szCs w:val="20"/>
                    </w:rPr>
                    <w:t>Poste ou fonction</w:t>
                  </w:r>
                </w:p>
                <w:p>
                  <w:pPr>
                    <w:pStyle w:val="3"/>
                    <w:widowControl w:val="0"/>
                    <w:ind w:right="-20"/>
                    <w:jc w:val="center"/>
                    <w:rPr>
                      <w:b/>
                      <w:sz w:val="20"/>
                      <w:szCs w:val="20"/>
                    </w:rPr>
                  </w:pPr>
                  <w:r>
                    <w:rPr>
                      <w:b/>
                      <w:sz w:val="20"/>
                      <w:szCs w:val="20"/>
                    </w:rPr>
                    <w:t>Occupé pour</w:t>
                  </w:r>
                </w:p>
                <w:p>
                  <w:pPr>
                    <w:pStyle w:val="3"/>
                    <w:widowControl w:val="0"/>
                    <w:ind w:right="-20"/>
                    <w:jc w:val="center"/>
                    <w:rPr>
                      <w:b/>
                      <w:sz w:val="20"/>
                      <w:szCs w:val="20"/>
                    </w:rPr>
                  </w:pPr>
                  <w:r>
                    <w:rPr>
                      <w:b/>
                      <w:sz w:val="20"/>
                      <w:szCs w:val="20"/>
                    </w:rPr>
                    <w:t>Chaque projet</w:t>
                  </w:r>
                </w:p>
                <w:p>
                  <w:pPr>
                    <w:pStyle w:val="3"/>
                    <w:widowControl w:val="0"/>
                    <w:ind w:left="878" w:right="-20" w:hanging="595"/>
                    <w:jc w:val="center"/>
                    <w:rPr>
                      <w:sz w:val="20"/>
                      <w:szCs w:val="20"/>
                    </w:rPr>
                  </w:pPr>
                </w:p>
              </w:tc>
            </w:tr>
            <w:tr>
              <w:tblPrEx>
                <w:tblLayout w:type="fixed"/>
              </w:tblPrEx>
              <w:trPr>
                <w:cantSplit/>
                <w:trHeight w:val="583" w:hRule="atLeast"/>
                <w:tblHeader/>
              </w:trPr>
              <w:tc>
                <w:tcPr>
                  <w:tcW w:w="194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281"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r>
                    <w:rPr>
                      <w:sz w:val="20"/>
                      <w:szCs w:val="20"/>
                    </w:rPr>
                    <w:t xml:space="preserve"> </w:t>
                  </w:r>
                </w:p>
              </w:tc>
              <w:tc>
                <w:tcPr>
                  <w:tcW w:w="118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506"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r>
            <w:tr>
              <w:tblPrEx>
                <w:tblLayout w:type="fixed"/>
              </w:tblPrEx>
              <w:trPr>
                <w:cantSplit/>
                <w:trHeight w:val="583" w:hRule="atLeast"/>
                <w:tblHeader/>
              </w:trPr>
              <w:tc>
                <w:tcPr>
                  <w:tcW w:w="194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281"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8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506"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r>
            <w:tr>
              <w:tblPrEx>
                <w:tblLayout w:type="fixed"/>
              </w:tblPrEx>
              <w:trPr>
                <w:cantSplit/>
                <w:trHeight w:val="583" w:hRule="atLeast"/>
                <w:tblHeader/>
              </w:trPr>
              <w:tc>
                <w:tcPr>
                  <w:tcW w:w="194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281"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8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506"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r>
            <w:tr>
              <w:tblPrEx>
                <w:tblLayout w:type="fixed"/>
              </w:tblPrEx>
              <w:trPr>
                <w:cantSplit/>
                <w:trHeight w:val="583" w:hRule="atLeast"/>
                <w:tblHeader/>
              </w:trPr>
              <w:tc>
                <w:tcPr>
                  <w:tcW w:w="194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281"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8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506"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r>
            <w:tr>
              <w:tblPrEx>
                <w:tblLayout w:type="fixed"/>
              </w:tblPrEx>
              <w:trPr>
                <w:cantSplit/>
                <w:trHeight w:val="583" w:hRule="atLeast"/>
                <w:tblHeader/>
              </w:trPr>
              <w:tc>
                <w:tcPr>
                  <w:tcW w:w="194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281"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8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506"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r>
            <w:tr>
              <w:tblPrEx>
                <w:tblLayout w:type="fixed"/>
              </w:tblPrEx>
              <w:trPr>
                <w:cantSplit/>
                <w:trHeight w:val="597" w:hRule="atLeast"/>
                <w:tblHeader/>
              </w:trPr>
              <w:tc>
                <w:tcPr>
                  <w:tcW w:w="194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281"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182"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c>
                <w:tcPr>
                  <w:tcW w:w="1506" w:type="dxa"/>
                  <w:tcBorders>
                    <w:top w:val="single" w:color="221F1F" w:sz="4" w:space="0"/>
                    <w:left w:val="single" w:color="221F1F" w:sz="4" w:space="0"/>
                    <w:bottom w:val="single" w:color="221F1F" w:sz="4" w:space="0"/>
                    <w:right w:val="single" w:color="221F1F" w:sz="4" w:space="0"/>
                  </w:tcBorders>
                  <w:vAlign w:val="center"/>
                </w:tcPr>
                <w:p>
                  <w:pPr>
                    <w:pStyle w:val="3"/>
                    <w:widowControl w:val="0"/>
                    <w:spacing w:before="60" w:after="60" w:line="360" w:lineRule="auto"/>
                    <w:rPr>
                      <w:sz w:val="20"/>
                      <w:szCs w:val="20"/>
                    </w:rPr>
                  </w:pPr>
                </w:p>
              </w:tc>
            </w:tr>
          </w:tbl>
          <w:p>
            <w:pPr>
              <w:pStyle w:val="3"/>
              <w:spacing w:line="244" w:lineRule="auto"/>
              <w:rPr>
                <w:b/>
                <w:i/>
                <w:color w:val="000000"/>
                <w:sz w:val="10"/>
                <w:szCs w:val="10"/>
                <w:u w:val="single"/>
              </w:rPr>
            </w:pPr>
          </w:p>
          <w:p>
            <w:pPr>
              <w:pStyle w:val="3"/>
              <w:spacing w:line="244" w:lineRule="auto"/>
              <w:rPr>
                <w:b/>
                <w:i/>
                <w:color w:val="000000"/>
                <w:sz w:val="20"/>
                <w:szCs w:val="20"/>
                <w:u w:val="single"/>
              </w:rPr>
            </w:pPr>
            <w:r>
              <w:rPr>
                <w:b/>
                <w:i/>
                <w:color w:val="000000"/>
                <w:sz w:val="20"/>
                <w:szCs w:val="20"/>
                <w:u w:val="single"/>
              </w:rPr>
              <w:t>[</w:t>
            </w:r>
            <w:r>
              <w:rPr>
                <w:b/>
                <w:i/>
                <w:color w:val="000000"/>
                <w:sz w:val="20"/>
                <w:szCs w:val="20"/>
              </w:rPr>
              <w:t>à préciser  validation de x……………………..sous  critères  pour obtenir  un oui</w:t>
            </w:r>
          </w:p>
          <w:p>
            <w:pPr>
              <w:pStyle w:val="3"/>
              <w:spacing w:line="360" w:lineRule="auto"/>
              <w:jc w:val="both"/>
              <w:rPr>
                <w:color w:val="000000"/>
                <w:sz w:val="20"/>
                <w:szCs w:val="20"/>
              </w:rPr>
            </w:pPr>
            <w:r>
              <w:rPr>
                <w:b/>
                <w:color w:val="000000"/>
                <w:sz w:val="20"/>
                <w:szCs w:val="20"/>
                <w:u w:val="single"/>
              </w:rPr>
              <w:t>NB</w:t>
            </w:r>
            <w:r>
              <w:rPr>
                <w:color w:val="000000"/>
                <w:sz w:val="20"/>
                <w:szCs w:val="20"/>
              </w:rPr>
              <w:t xml:space="preserve"> : Tout agent public listé parmi le personnel et qui n’a pas présenté tous les documents susceptibles de justifier sa libération de l’Administration sera considéré dans l’évaluation. </w:t>
            </w:r>
          </w:p>
          <w:p>
            <w:pPr>
              <w:pStyle w:val="3"/>
              <w:spacing w:line="360" w:lineRule="auto"/>
              <w:jc w:val="both"/>
              <w:rPr>
                <w:sz w:val="20"/>
                <w:szCs w:val="20"/>
              </w:rPr>
            </w:pPr>
            <w:r>
              <w:rPr>
                <w:sz w:val="20"/>
                <w:szCs w:val="20"/>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pPr>
              <w:pStyle w:val="3"/>
              <w:spacing w:line="360" w:lineRule="auto"/>
              <w:jc w:val="both"/>
              <w:rPr>
                <w:i/>
                <w:sz w:val="20"/>
                <w:szCs w:val="20"/>
              </w:rPr>
            </w:pPr>
            <w:r>
              <w:rPr>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3 à 5 ans), et (iii) le nombre d’années d’expérience en travaux similaires demandé pour chacun des personnels clés (de 3 à 5 ans)].</w:t>
            </w:r>
          </w:p>
          <w:p>
            <w:pPr>
              <w:pStyle w:val="3"/>
              <w:numPr>
                <w:ilvl w:val="0"/>
                <w:numId w:val="6"/>
              </w:numPr>
              <w:spacing w:line="360" w:lineRule="auto"/>
              <w:jc w:val="both"/>
              <w:rPr>
                <w:color w:val="000000"/>
                <w:sz w:val="20"/>
                <w:szCs w:val="20"/>
                <w:u w:val="single"/>
              </w:rPr>
            </w:pPr>
            <w:r>
              <w:rPr>
                <w:color w:val="000000"/>
                <w:sz w:val="20"/>
                <w:szCs w:val="20"/>
                <w:u w:val="single"/>
              </w:rPr>
              <w:t>Matériels</w:t>
            </w:r>
          </w:p>
          <w:p>
            <w:pPr>
              <w:pStyle w:val="3"/>
              <w:spacing w:line="360" w:lineRule="auto"/>
              <w:jc w:val="both"/>
              <w:rPr>
                <w:color w:val="000000"/>
                <w:sz w:val="20"/>
                <w:szCs w:val="20"/>
              </w:rPr>
            </w:pPr>
            <w:r>
              <w:rPr>
                <w:color w:val="000000"/>
                <w:sz w:val="20"/>
                <w:szCs w:val="20"/>
              </w:rPr>
              <w:t>Le Soumissionnaire doit justifier qu’il dispose en propre ou location les matériels ci-après :</w:t>
            </w:r>
          </w:p>
          <w:tbl>
            <w:tblPr>
              <w:tblStyle w:val="31"/>
              <w:tblW w:w="8069" w:type="dxa"/>
              <w:tblInd w:w="415" w:type="dxa"/>
              <w:tblLayout w:type="fixed"/>
              <w:tblCellMar>
                <w:top w:w="0" w:type="dxa"/>
                <w:left w:w="0" w:type="dxa"/>
                <w:bottom w:w="0" w:type="dxa"/>
                <w:right w:w="0" w:type="dxa"/>
              </w:tblCellMar>
            </w:tblPr>
            <w:tblGrid>
              <w:gridCol w:w="523"/>
              <w:gridCol w:w="2158"/>
              <w:gridCol w:w="840"/>
              <w:gridCol w:w="1199"/>
              <w:gridCol w:w="959"/>
              <w:gridCol w:w="1200"/>
              <w:gridCol w:w="1190"/>
            </w:tblGrid>
            <w:tr>
              <w:tblPrEx>
                <w:tblLayout w:type="fixed"/>
              </w:tblPrEx>
              <w:trPr>
                <w:cantSplit/>
                <w:trHeight w:val="652" w:hRule="atLeast"/>
                <w:tblHead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b/>
                      <w:sz w:val="20"/>
                      <w:szCs w:val="20"/>
                    </w:rPr>
                  </w:pPr>
                  <w:r>
                    <w:rPr>
                      <w:sz w:val="20"/>
                      <w:szCs w:val="20"/>
                    </w:rPr>
                    <w:t xml:space="preserve">  </w:t>
                  </w:r>
                  <w:r>
                    <w:rPr>
                      <w:b/>
                      <w:sz w:val="20"/>
                      <w:szCs w:val="20"/>
                    </w:rPr>
                    <w:t>N°</w:t>
                  </w:r>
                </w:p>
              </w:tc>
              <w:tc>
                <w:tcPr>
                  <w:tcW w:w="21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b/>
                      <w:sz w:val="20"/>
                      <w:szCs w:val="20"/>
                    </w:rPr>
                  </w:pPr>
                  <w:r>
                    <w:rPr>
                      <w:b/>
                      <w:sz w:val="20"/>
                      <w:szCs w:val="20"/>
                    </w:rPr>
                    <w:t>Désignation et caractéristiques du matériel</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sz w:val="20"/>
                      <w:szCs w:val="20"/>
                    </w:rPr>
                    <w:t>Age / Etat</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sz w:val="20"/>
                      <w:szCs w:val="20"/>
                    </w:rPr>
                    <w:t>Nombre minimal requis</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center"/>
                    <w:rPr>
                      <w:b/>
                      <w:sz w:val="20"/>
                      <w:szCs w:val="20"/>
                    </w:rPr>
                  </w:pPr>
                  <w:r>
                    <w:rPr>
                      <w:b/>
                      <w:sz w:val="20"/>
                      <w:szCs w:val="20"/>
                    </w:rPr>
                    <w:t>Propriétaire/location</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sz w:val="20"/>
                      <w:szCs w:val="20"/>
                    </w:rPr>
                    <w:t xml:space="preserve">Année d’obtention </w:t>
                  </w:r>
                </w:p>
              </w:tc>
              <w:tc>
                <w:tcPr>
                  <w:tcW w:w="1190"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sz w:val="20"/>
                      <w:szCs w:val="20"/>
                    </w:rPr>
                    <w:t xml:space="preserve">Justificatif </w:t>
                  </w:r>
                </w:p>
              </w:tc>
            </w:tr>
            <w:tr>
              <w:tblPrEx>
                <w:tblLayout w:type="fixed"/>
              </w:tblPrEx>
              <w:trPr>
                <w:cantSplit/>
                <w:trHeight w:val="224" w:hRule="atLeast"/>
                <w:tblHead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rPr>
                      <w:sz w:val="20"/>
                      <w:szCs w:val="20"/>
                    </w:rPr>
                    <w:t>1</w:t>
                  </w:r>
                </w:p>
              </w:tc>
              <w:tc>
                <w:tcPr>
                  <w:tcW w:w="21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r>
              <w:tblPrEx>
                <w:tblLayout w:type="fixed"/>
              </w:tblPrEx>
              <w:trPr>
                <w:cantSplit/>
                <w:trHeight w:val="270" w:hRule="atLeast"/>
                <w:tblHead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rPr>
                      <w:sz w:val="20"/>
                      <w:szCs w:val="20"/>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r>
              <w:tblPrEx>
                <w:tblLayout w:type="fixed"/>
              </w:tblPrEx>
              <w:trPr>
                <w:cantSplit/>
                <w:trHeight w:val="273" w:hRule="atLeast"/>
                <w:tblHead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rPr>
                      <w:sz w:val="20"/>
                      <w:szCs w:val="20"/>
                    </w:rPr>
                    <w:t>…</w:t>
                  </w:r>
                </w:p>
              </w:tc>
              <w:tc>
                <w:tcPr>
                  <w:tcW w:w="21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r>
              <w:tblPrEx>
                <w:tblLayout w:type="fixed"/>
              </w:tblPrEx>
              <w:trPr>
                <w:cantSplit/>
                <w:trHeight w:val="277" w:hRule="atLeast"/>
                <w:tblHead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r>
                    <w:rPr>
                      <w:sz w:val="20"/>
                      <w:szCs w:val="20"/>
                    </w:rPr>
                    <w:t>N</w:t>
                  </w:r>
                </w:p>
              </w:tc>
              <w:tc>
                <w:tcPr>
                  <w:tcW w:w="215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959"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bl>
          <w:p>
            <w:pPr>
              <w:pStyle w:val="3"/>
              <w:spacing w:line="360" w:lineRule="auto"/>
              <w:jc w:val="both"/>
              <w:rPr>
                <w:color w:val="000000"/>
                <w:sz w:val="10"/>
                <w:szCs w:val="10"/>
              </w:rPr>
            </w:pPr>
          </w:p>
          <w:p>
            <w:pPr>
              <w:pStyle w:val="3"/>
              <w:spacing w:line="244" w:lineRule="auto"/>
              <w:rPr>
                <w:b/>
                <w:i/>
                <w:color w:val="000000"/>
                <w:sz w:val="20"/>
                <w:szCs w:val="20"/>
              </w:rPr>
            </w:pPr>
            <w:r>
              <w:rPr>
                <w:b/>
                <w:i/>
                <w:color w:val="000000"/>
                <w:sz w:val="20"/>
                <w:szCs w:val="20"/>
              </w:rPr>
              <w:t>[à préciser  validation de x……………………..sous  critères  pour obtenir  un oui</w:t>
            </w:r>
          </w:p>
          <w:p>
            <w:pPr>
              <w:pStyle w:val="3"/>
              <w:spacing w:line="360" w:lineRule="auto"/>
              <w:jc w:val="both"/>
              <w:rPr>
                <w:color w:val="000000"/>
                <w:sz w:val="20"/>
                <w:szCs w:val="20"/>
              </w:rPr>
            </w:pPr>
          </w:p>
          <w:p>
            <w:pPr>
              <w:pStyle w:val="3"/>
              <w:spacing w:line="360" w:lineRule="auto"/>
              <w:jc w:val="both"/>
              <w:rPr>
                <w:color w:val="000000"/>
                <w:sz w:val="20"/>
                <w:szCs w:val="20"/>
              </w:rPr>
            </w:pPr>
            <w:r>
              <w:rPr>
                <w:color w:val="000000"/>
                <w:sz w:val="20"/>
                <w:szCs w:val="20"/>
              </w:rPr>
              <w:t>Le maître d’ouvrage devra préciser, le cas échéant, un âge maximal au-delà duquel l’engin en question ne sera pas accepté.</w:t>
            </w:r>
          </w:p>
          <w:p>
            <w:pPr>
              <w:pStyle w:val="3"/>
              <w:spacing w:line="360" w:lineRule="auto"/>
              <w:jc w:val="both"/>
              <w:rPr>
                <w:i/>
                <w:color w:val="000000"/>
                <w:sz w:val="20"/>
                <w:szCs w:val="20"/>
              </w:rPr>
            </w:pPr>
            <w:r>
              <w:rPr>
                <w:i/>
                <w:color w:val="000000"/>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pPr>
              <w:pStyle w:val="3"/>
              <w:spacing w:line="276" w:lineRule="auto"/>
              <w:jc w:val="both"/>
              <w:rPr>
                <w:i/>
                <w:sz w:val="20"/>
                <w:szCs w:val="20"/>
              </w:rPr>
            </w:pPr>
            <w:r>
              <w:rPr>
                <w:b/>
                <w:i/>
                <w:sz w:val="20"/>
                <w:szCs w:val="20"/>
                <w:u w:val="single"/>
              </w:rPr>
              <w:t>NB</w:t>
            </w:r>
            <w:r>
              <w:rPr>
                <w:b/>
                <w:i/>
                <w:sz w:val="20"/>
                <w:szCs w:val="20"/>
              </w:rPr>
              <w:t xml:space="preserve"> : </w:t>
            </w:r>
            <w:r>
              <w:rPr>
                <w:i/>
                <w:sz w:val="20"/>
                <w:szCs w:val="20"/>
              </w:rPr>
              <w:t>Joindre les copies certifiées par les services émetteurs ou toute autre autorité habilitée, des cartes grises pour les matériels roulants et les factures d’achat</w:t>
            </w:r>
            <w:r>
              <w:rPr>
                <w:sz w:val="20"/>
                <w:szCs w:val="20"/>
              </w:rPr>
              <w:t xml:space="preserve"> </w:t>
            </w:r>
            <w:r>
              <w:rPr>
                <w:i/>
                <w:sz w:val="20"/>
                <w:szCs w:val="20"/>
              </w:rPr>
              <w:t xml:space="preserve">indiquant le numéro de contribuable de chaque émetteur pour les autres, le cas échéant, accompagnées d’un engagement de location de matériel signé. </w:t>
            </w:r>
          </w:p>
          <w:p>
            <w:pPr>
              <w:pStyle w:val="3"/>
              <w:spacing w:line="360" w:lineRule="auto"/>
              <w:jc w:val="both"/>
              <w:rPr>
                <w:i/>
                <w:color w:val="000000"/>
                <w:sz w:val="10"/>
                <w:szCs w:val="10"/>
              </w:rPr>
            </w:pPr>
          </w:p>
          <w:p>
            <w:pPr>
              <w:pStyle w:val="3"/>
              <w:spacing w:line="360" w:lineRule="auto"/>
              <w:jc w:val="both"/>
              <w:rPr>
                <w:color w:val="000000"/>
                <w:sz w:val="20"/>
                <w:szCs w:val="20"/>
              </w:rPr>
            </w:pPr>
            <w:r>
              <w:rPr>
                <w:b/>
                <w:color w:val="000000"/>
                <w:sz w:val="20"/>
                <w:szCs w:val="20"/>
                <w:u w:val="single"/>
              </w:rPr>
              <w:t>N.B</w:t>
            </w:r>
            <w:r>
              <w:rPr>
                <w:color w:val="000000"/>
                <w:sz w:val="20"/>
                <w:szCs w:val="20"/>
              </w:rPr>
              <w:t xml:space="preserve">. Le MO/MOD pourra fixer un certain type de matériels à avoir en propre. Dans ce cas cette disposition devra figurer parmi les critères éliminatoires. </w:t>
            </w:r>
          </w:p>
          <w:p>
            <w:pPr>
              <w:pStyle w:val="3"/>
              <w:numPr>
                <w:ilvl w:val="0"/>
                <w:numId w:val="6"/>
              </w:numPr>
              <w:spacing w:line="360" w:lineRule="auto"/>
              <w:jc w:val="both"/>
              <w:rPr>
                <w:color w:val="000000"/>
                <w:sz w:val="20"/>
                <w:szCs w:val="20"/>
                <w:u w:val="single"/>
              </w:rPr>
            </w:pPr>
            <w:r>
              <w:rPr>
                <w:color w:val="000000"/>
                <w:sz w:val="20"/>
                <w:szCs w:val="20"/>
                <w:u w:val="single"/>
              </w:rPr>
              <w:t>Capacité financière </w:t>
            </w:r>
          </w:p>
          <w:p>
            <w:pPr>
              <w:pStyle w:val="3"/>
              <w:spacing w:line="360" w:lineRule="auto"/>
              <w:jc w:val="both"/>
              <w:rPr>
                <w:sz w:val="20"/>
                <w:szCs w:val="20"/>
              </w:rPr>
            </w:pPr>
            <w:r>
              <w:rPr>
                <w:sz w:val="20"/>
                <w:szCs w:val="20"/>
              </w:rPr>
              <w:t>Les Soumissionnaires devront présenter notamment :</w:t>
            </w:r>
          </w:p>
          <w:p>
            <w:pPr>
              <w:pStyle w:val="3"/>
              <w:numPr>
                <w:ilvl w:val="0"/>
                <w:numId w:val="6"/>
              </w:numPr>
              <w:spacing w:line="360" w:lineRule="auto"/>
              <w:jc w:val="both"/>
              <w:rPr>
                <w:color w:val="000000"/>
                <w:sz w:val="20"/>
                <w:szCs w:val="20"/>
              </w:rPr>
            </w:pPr>
            <w:r>
              <w:rPr>
                <w:color w:val="000000"/>
                <w:sz w:val="20"/>
                <w:szCs w:val="20"/>
              </w:rPr>
              <w:t>les états financiers certifiés ou, si cela n’est pas requis par la réglementation du pays du candidat, autres états financiers acceptables par le Maître d’Ouvrage ou pour les 5</w:t>
            </w:r>
            <w:r>
              <w:rPr>
                <w:i/>
                <w:color w:val="000000"/>
                <w:sz w:val="20"/>
                <w:szCs w:val="20"/>
              </w:rPr>
              <w:t xml:space="preserve"> </w:t>
            </w:r>
            <w:r>
              <w:rPr>
                <w:color w:val="000000"/>
                <w:sz w:val="20"/>
                <w:szCs w:val="20"/>
              </w:rPr>
              <w:t>dernières années démontrant la solidité actuelle de la position financière du candidat</w:t>
            </w:r>
          </w:p>
          <w:p>
            <w:pPr>
              <w:pStyle w:val="3"/>
              <w:numPr>
                <w:ilvl w:val="0"/>
                <w:numId w:val="6"/>
              </w:numPr>
              <w:spacing w:line="360" w:lineRule="auto"/>
              <w:jc w:val="both"/>
              <w:rPr>
                <w:color w:val="000000"/>
                <w:sz w:val="20"/>
                <w:szCs w:val="20"/>
              </w:rPr>
            </w:pPr>
            <w:r>
              <w:rPr>
                <w:color w:val="000000"/>
                <w:sz w:val="20"/>
                <w:szCs w:val="20"/>
              </w:rPr>
              <w:t xml:space="preserve">L’attestation de capacité financière d’un montant de 17 820 600 francs CFA délivrée par une banque agréée, </w:t>
            </w:r>
          </w:p>
          <w:p>
            <w:pPr>
              <w:pStyle w:val="3"/>
              <w:numPr>
                <w:ilvl w:val="0"/>
                <w:numId w:val="6"/>
              </w:numPr>
              <w:spacing w:line="360" w:lineRule="auto"/>
              <w:jc w:val="both"/>
              <w:rPr>
                <w:color w:val="000000"/>
                <w:sz w:val="20"/>
                <w:szCs w:val="20"/>
              </w:rPr>
            </w:pPr>
            <w:r>
              <w:rPr>
                <w:color w:val="000000"/>
                <w:sz w:val="20"/>
                <w:szCs w:val="20"/>
              </w:rPr>
              <w:t xml:space="preserve">Les chiffres d’affaires annuels, selon le bilan ou la déclaration statistique et fiscale.  </w:t>
            </w:r>
          </w:p>
          <w:p>
            <w:pPr>
              <w:pStyle w:val="3"/>
              <w:spacing w:line="360" w:lineRule="auto"/>
              <w:ind w:left="360"/>
              <w:jc w:val="both"/>
              <w:rPr>
                <w:sz w:val="20"/>
                <w:szCs w:val="20"/>
              </w:rPr>
            </w:pPr>
            <w:r>
              <w:rPr>
                <w:i/>
                <w:sz w:val="20"/>
                <w:szCs w:val="20"/>
              </w:rPr>
              <w:t>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pPr>
              <w:pStyle w:val="3"/>
              <w:spacing w:line="360" w:lineRule="auto"/>
              <w:jc w:val="both"/>
              <w:rPr>
                <w:i/>
                <w:sz w:val="20"/>
                <w:szCs w:val="20"/>
              </w:rPr>
            </w:pPr>
            <w:r>
              <w:rPr>
                <w:b/>
                <w:i/>
                <w:sz w:val="20"/>
                <w:szCs w:val="20"/>
              </w:rPr>
              <w:t>Pour les entreprises naissantes</w:t>
            </w:r>
            <w:r>
              <w:rPr>
                <w:i/>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pPr>
              <w:pStyle w:val="3"/>
              <w:spacing w:line="360" w:lineRule="auto"/>
              <w:jc w:val="both"/>
              <w:rPr>
                <w:i/>
                <w:sz w:val="20"/>
                <w:szCs w:val="20"/>
              </w:rPr>
            </w:pPr>
            <w:r>
              <w:rPr>
                <w:i/>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pPr>
              <w:pStyle w:val="3"/>
              <w:spacing w:line="360" w:lineRule="auto"/>
              <w:jc w:val="both"/>
              <w:rPr>
                <w:i/>
                <w:sz w:val="20"/>
                <w:szCs w:val="20"/>
              </w:rPr>
            </w:pPr>
            <w:r>
              <w:rPr>
                <w:i/>
                <w:sz w:val="20"/>
                <w:szCs w:val="20"/>
              </w:rPr>
              <w:t>2. La période est normalement de trois ans.</w:t>
            </w:r>
          </w:p>
          <w:p>
            <w:pPr>
              <w:pStyle w:val="3"/>
              <w:spacing w:line="360" w:lineRule="auto"/>
              <w:jc w:val="both"/>
              <w:rPr>
                <w:i/>
                <w:sz w:val="20"/>
                <w:szCs w:val="20"/>
              </w:rPr>
            </w:pPr>
            <w:r>
              <w:rPr>
                <w:i/>
                <w:sz w:val="20"/>
                <w:szCs w:val="20"/>
              </w:rPr>
              <w:t>3. En cas de groupement, on pourra indiquer que chaque membre du groupement devra satisfaire à 25 ou 30 % du montant global exigé et que le mandataire d’un groupement devra satisfaire à 50 ou 60 % du montant global exigé.</w:t>
            </w:r>
          </w:p>
          <w:p>
            <w:pPr>
              <w:pStyle w:val="3"/>
              <w:spacing w:line="360" w:lineRule="auto"/>
              <w:jc w:val="both"/>
              <w:rPr>
                <w:i/>
                <w:sz w:val="20"/>
                <w:szCs w:val="20"/>
              </w:rPr>
            </w:pPr>
            <w:r>
              <w:rPr>
                <w:i/>
                <w:sz w:val="20"/>
                <w:szCs w:val="20"/>
              </w:rPr>
              <w:t>5. Le montant du chiffre d’affaires ne saurait être fixé à un niveau trop élevé de nature à empêcher les entreprises qui disposent des capacités techniques et financières requises de répondre aux critères de qualifications.]</w:t>
            </w:r>
          </w:p>
          <w:p>
            <w:pPr>
              <w:pStyle w:val="3"/>
              <w:numPr>
                <w:ilvl w:val="0"/>
                <w:numId w:val="37"/>
              </w:numPr>
              <w:spacing w:after="60" w:line="360" w:lineRule="auto"/>
              <w:ind w:left="720"/>
              <w:jc w:val="both"/>
              <w:rPr>
                <w:b/>
                <w:color w:val="000000"/>
                <w:sz w:val="20"/>
                <w:szCs w:val="20"/>
                <w:u w:val="single"/>
              </w:rPr>
            </w:pPr>
            <w:r>
              <w:rPr>
                <w:b/>
                <w:color w:val="000000"/>
                <w:sz w:val="20"/>
                <w:szCs w:val="20"/>
                <w:u w:val="single"/>
              </w:rPr>
              <w:t>Les preuves d’acceptations des conditions du marché</w:t>
            </w:r>
          </w:p>
          <w:p>
            <w:pPr>
              <w:pStyle w:val="3"/>
              <w:spacing w:after="60" w:line="360" w:lineRule="auto"/>
              <w:jc w:val="both"/>
              <w:rPr>
                <w:sz w:val="20"/>
                <w:szCs w:val="20"/>
              </w:rPr>
            </w:pPr>
            <w:r>
              <w:rPr>
                <w:sz w:val="20"/>
                <w:szCs w:val="20"/>
              </w:rPr>
              <w:t xml:space="preserve">Les soumissionnaires devront présenter les copies dûment paraphées et signées avec la mention « lu et approuvé », des documents à caractères administratif et technique régissant le marché ci-après: </w:t>
            </w:r>
          </w:p>
          <w:p>
            <w:pPr>
              <w:pStyle w:val="3"/>
              <w:numPr>
                <w:ilvl w:val="0"/>
                <w:numId w:val="38"/>
              </w:numPr>
              <w:spacing w:after="60" w:line="360" w:lineRule="auto"/>
              <w:jc w:val="both"/>
            </w:pPr>
            <w:r>
              <w:rPr>
                <w:sz w:val="20"/>
                <w:szCs w:val="20"/>
              </w:rPr>
              <w:t>Le Cahier des Clauses Administratives Particulières(CCAP);</w:t>
            </w:r>
          </w:p>
          <w:p>
            <w:pPr>
              <w:pStyle w:val="3"/>
              <w:numPr>
                <w:ilvl w:val="0"/>
                <w:numId w:val="38"/>
              </w:numPr>
              <w:spacing w:after="60" w:line="360" w:lineRule="auto"/>
              <w:jc w:val="both"/>
            </w:pPr>
            <w:r>
              <w:rPr>
                <w:sz w:val="20"/>
                <w:szCs w:val="20"/>
              </w:rPr>
              <w:t>Les Cahiers des Clauses Techniques Particulières (CCTP), .</w:t>
            </w:r>
          </w:p>
          <w:p>
            <w:pPr>
              <w:pStyle w:val="3"/>
              <w:jc w:val="both"/>
              <w:rPr>
                <w:b/>
                <w:i/>
                <w:color w:val="000000"/>
                <w:sz w:val="20"/>
                <w:szCs w:val="20"/>
              </w:rPr>
            </w:pPr>
            <w:r>
              <w:rPr>
                <w:b/>
                <w:i/>
                <w:color w:val="000000"/>
                <w:sz w:val="20"/>
                <w:szCs w:val="20"/>
              </w:rPr>
              <w:t>[à préciser la validation de X……………………..sous  critères</w:t>
            </w:r>
            <w:r>
              <w:rPr>
                <w:i/>
                <w:color w:val="000000"/>
                <w:sz w:val="20"/>
                <w:szCs w:val="20"/>
              </w:rPr>
              <w:t xml:space="preserve"> </w:t>
            </w:r>
            <w:r>
              <w:rPr>
                <w:b/>
                <w:i/>
                <w:color w:val="000000"/>
                <w:sz w:val="20"/>
                <w:szCs w:val="20"/>
              </w:rPr>
              <w:t>par critère   pour obtenir  un oui</w:t>
            </w:r>
            <w:r>
              <w:rPr>
                <w:b/>
                <w:i/>
                <w:color w:val="000000"/>
                <w:sz w:val="20"/>
                <w:szCs w:val="20"/>
                <w:u w:val="single"/>
              </w:rPr>
              <w:t xml:space="preserve">] </w:t>
            </w:r>
            <w:r>
              <w:rPr>
                <w:b/>
                <w:i/>
                <w:color w:val="000000"/>
                <w:sz w:val="20"/>
                <w:szCs w:val="20"/>
              </w:rPr>
              <w:t xml:space="preserve"> </w:t>
            </w:r>
          </w:p>
          <w:p>
            <w:pPr>
              <w:pStyle w:val="3"/>
              <w:widowControl w:val="0"/>
              <w:spacing w:line="360" w:lineRule="auto"/>
              <w:jc w:val="both"/>
              <w:rPr>
                <w:sz w:val="20"/>
                <w:szCs w:val="20"/>
              </w:rPr>
            </w:pPr>
          </w:p>
          <w:p>
            <w:pPr>
              <w:pStyle w:val="3"/>
              <w:widowControl w:val="0"/>
              <w:spacing w:before="17" w:line="360" w:lineRule="auto"/>
              <w:jc w:val="both"/>
              <w:rPr>
                <w:b/>
                <w:i/>
                <w:sz w:val="20"/>
                <w:szCs w:val="20"/>
              </w:rPr>
            </w:pPr>
            <w:bookmarkStart w:id="88" w:name="_thw4kt" w:colFirst="0" w:colLast="0"/>
            <w:bookmarkEnd w:id="88"/>
            <w:r>
              <w:rPr>
                <w:b/>
                <w:sz w:val="20"/>
                <w:szCs w:val="20"/>
              </w:rPr>
              <w:t xml:space="preserve">NB : Une grille d’évaluation détaillée </w:t>
            </w:r>
            <w:r>
              <w:rPr>
                <w:b/>
                <w:i/>
                <w:sz w:val="20"/>
                <w:szCs w:val="20"/>
              </w:rPr>
              <w:t>cohérente avec les exigences du Règlement Particulier de l’Appel d’Offres pourra être jointe</w:t>
            </w:r>
            <w:r>
              <w:rPr>
                <w:b/>
                <w:sz w:val="20"/>
                <w:szCs w:val="20"/>
              </w:rPr>
              <w:t xml:space="preserve"> en annexe à ce Règlement Particulier de l’Appel d’Offres.  </w:t>
            </w:r>
            <w:r>
              <w:rPr>
                <w:b/>
                <w:i/>
                <w:sz w:val="20"/>
                <w:szCs w:val="20"/>
              </w:rPr>
              <w:t xml:space="preserve">Ladite grille et les critères détaillés ci-dessous doivent préciser formellement les modalités de validation d'un critère à partir du nombre de sous-critères respectés.] </w:t>
            </w:r>
          </w:p>
          <w:p>
            <w:pPr>
              <w:pStyle w:val="3"/>
              <w:widowControl w:val="0"/>
              <w:spacing w:before="17" w:line="360" w:lineRule="auto"/>
              <w:rPr>
                <w:b/>
                <w:i/>
                <w:sz w:val="20"/>
                <w:szCs w:val="20"/>
              </w:rPr>
            </w:pPr>
            <w:r>
              <w:rPr>
                <w:b/>
                <w:i/>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p>
        </w:tc>
      </w:tr>
      <w:tr>
        <w:trPr>
          <w:cantSplit/>
          <w:trHeight w:val="1077"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31.2.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La monnaie retenue pour la conversion en une seule monnaie est le franc CFA, la source du taux de change étant la Banque des Etats de l’Afrique Centrale (BEAC).</w:t>
            </w:r>
          </w:p>
          <w:p>
            <w:pPr>
              <w:pStyle w:val="3"/>
              <w:widowControl w:val="0"/>
              <w:spacing w:line="360" w:lineRule="auto"/>
              <w:jc w:val="both"/>
              <w:rPr>
                <w:i/>
                <w:sz w:val="20"/>
                <w:szCs w:val="20"/>
              </w:rPr>
            </w:pPr>
            <w:r>
              <w:t xml:space="preserve">La date du taux de change est : </w:t>
            </w:r>
            <w:r>
              <w:rPr>
                <w:i/>
              </w:rPr>
              <w:t xml:space="preserve">[Retenir une date qui ne sera pas antérieure de plus de vingt-huit (28) jours à la date limite de dépôt des offres, ni postérieure à la date initiale d’expiration du délai de validité des offres. </w:t>
            </w:r>
          </w:p>
          <w:p>
            <w:pPr>
              <w:pStyle w:val="3"/>
              <w:widowControl w:val="0"/>
              <w:spacing w:line="360" w:lineRule="auto"/>
              <w:jc w:val="both"/>
              <w:rPr>
                <w:b/>
                <w:i/>
                <w:smallCaps/>
              </w:rPr>
            </w:pPr>
            <w:r>
              <w:rPr>
                <w:i/>
                <w:color w:val="000000"/>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trPr>
          <w:cantSplit/>
          <w:trHeight w:val="563"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32.2.(b)</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Le mode d’évaluation des travaux en régie à chiffrer de façon compétitive est défini comme suit : et le pourcentage desdits travaux devra être précisé</w:t>
            </w:r>
          </w:p>
        </w:tc>
      </w:tr>
      <w:tr>
        <w:trPr>
          <w:cantSplit/>
          <w:trHeight w:val="2152"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32.2.(e)</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Le délai d’exécution sera évalué comme suit:(à préciser le cas échéant)</w:t>
            </w:r>
          </w:p>
          <w:p>
            <w:pPr>
              <w:pStyle w:val="3"/>
              <w:widowControl w:val="0"/>
              <w:spacing w:line="360" w:lineRule="auto"/>
              <w:jc w:val="both"/>
              <w:rPr>
                <w:b/>
                <w:i/>
                <w:smallCaps/>
              </w:rPr>
            </w:pPr>
            <w:r>
              <w:rPr>
                <w:i/>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trPr>
          <w:cantSplit/>
          <w:trHeight w:val="992"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32.2(g).</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La méthode d’évaluation des variantes techniques est la suivante:</w:t>
            </w:r>
          </w:p>
          <w:p>
            <w:pPr>
              <w:pStyle w:val="3"/>
              <w:widowControl w:val="0"/>
              <w:spacing w:line="360" w:lineRule="auto"/>
              <w:jc w:val="both"/>
              <w:rPr>
                <w:b/>
                <w:i/>
                <w:smallCaps/>
              </w:rPr>
            </w:pPr>
            <w:r>
              <w:rPr>
                <w:i/>
              </w:rPr>
              <w:t>[A insérer, le cas échéant, avec la référence aux dispositions des Spécifications techniques.]</w:t>
            </w:r>
          </w:p>
        </w:tc>
      </w:tr>
      <w:tr>
        <w:trPr>
          <w:cantSplit/>
          <w:trHeight w:val="2146"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33.1.</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b/>
                <w:i/>
                <w:smallCaps/>
              </w:rPr>
            </w:pPr>
            <w:r>
              <w:t xml:space="preserve">Les soumissionnaires nationaux </w:t>
            </w:r>
            <w:r>
              <w:rPr>
                <w:i/>
              </w:rPr>
              <w:t>[</w:t>
            </w:r>
            <w:r>
              <w:t xml:space="preserve">bénéficient ou </w:t>
            </w:r>
            <w:r>
              <w:rPr>
                <w:i/>
              </w:rPr>
              <w:t xml:space="preserve">ne bénéficient pas] </w:t>
            </w:r>
            <w:r>
              <w:t>d’une marge de préférence nationale au cours de l’évaluation.</w:t>
            </w:r>
          </w:p>
          <w:p>
            <w:pPr>
              <w:pStyle w:val="3"/>
              <w:widowControl w:val="0"/>
              <w:spacing w:line="360" w:lineRule="auto"/>
              <w:jc w:val="both"/>
              <w:rPr>
                <w:b/>
                <w:i/>
                <w:smallCaps/>
              </w:rPr>
            </w:pPr>
            <w:r>
              <w:rPr>
                <w:i/>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trPr>
          <w:cantSplit/>
          <w:trHeight w:val="525" w:hRule="atLeast"/>
          <w:tblHeader/>
          <w:jc w:val="center"/>
        </w:trPr>
        <w:tc>
          <w:tcPr>
            <w:tcW w:w="10066" w:type="dxa"/>
            <w:gridSpan w:val="2"/>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r>
              <w:rPr>
                <w:b/>
              </w:rPr>
              <w:t>F- ATTRIBUTION</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34.1</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i/>
                <w:sz w:val="20"/>
                <w:szCs w:val="20"/>
              </w:rPr>
            </w:pPr>
            <w:bookmarkStart w:id="89" w:name="_3dhjn8m" w:colFirst="0" w:colLast="0"/>
            <w:bookmarkEnd w:id="89"/>
            <w:r>
              <w:rPr>
                <w:i/>
              </w:rPr>
              <w:t xml:space="preserve">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 </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34.2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i/>
                <w:sz w:val="20"/>
                <w:szCs w:val="20"/>
              </w:rPr>
            </w:pPr>
            <w:bookmarkStart w:id="90" w:name="_1smtxgf" w:colFirst="0" w:colLast="0"/>
            <w:bookmarkEnd w:id="90"/>
            <w:r>
              <w:rPr>
                <w:i/>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p>
        </w:tc>
      </w:tr>
      <w:tr>
        <w:trPr>
          <w:cantSpli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39.2</w:t>
            </w:r>
          </w:p>
        </w:tc>
        <w:tc>
          <w:tcPr>
            <w:tcW w:w="8795" w:type="dxa"/>
            <w:shd w:val="clear" w:color="auto" w:fill="auto"/>
            <w:tcMar>
              <w:top w:w="0" w:type="dxa"/>
              <w:left w:w="0" w:type="dxa"/>
              <w:bottom w:w="0" w:type="dxa"/>
              <w:right w:w="0" w:type="dxa"/>
            </w:tcMar>
            <w:vAlign w:val="center"/>
          </w:tcPr>
          <w:p>
            <w:pPr>
              <w:pStyle w:val="3"/>
              <w:widowControl w:val="0"/>
              <w:spacing w:line="360" w:lineRule="auto"/>
              <w:jc w:val="both"/>
              <w:rPr>
                <w:i/>
              </w:rPr>
            </w:pPr>
            <w:r>
              <w:t xml:space="preserve">Le taux du cautionnement définitif est de : </w:t>
            </w:r>
            <w:r>
              <w:rPr>
                <w:b/>
                <w:i/>
              </w:rPr>
              <w:t>536 412(cinq cent trente-six mille quatre cent douze) francs CFA</w:t>
            </w:r>
            <w:r>
              <w:rPr>
                <w:i/>
              </w:rPr>
              <w:t xml:space="preserve"> </w:t>
            </w:r>
          </w:p>
          <w:p>
            <w:pPr>
              <w:pStyle w:val="3"/>
              <w:widowControl w:val="0"/>
              <w:spacing w:line="360" w:lineRule="auto"/>
              <w:jc w:val="both"/>
              <w:rPr>
                <w:b/>
                <w:i/>
                <w:smallCaps/>
              </w:rPr>
            </w:pPr>
            <w: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trPr>
          <w:cantSplit/>
          <w:trHeight w:val="8732" w:hRule="atLeast"/>
          <w:tblHeader/>
          <w:jc w:val="center"/>
        </w:trPr>
        <w:tc>
          <w:tcPr>
            <w:tcW w:w="1271" w:type="dxa"/>
            <w:shd w:val="clear" w:color="auto" w:fill="auto"/>
            <w:tcMar>
              <w:top w:w="0" w:type="dxa"/>
              <w:left w:w="0" w:type="dxa"/>
              <w:bottom w:w="0" w:type="dxa"/>
              <w:right w:w="0" w:type="dxa"/>
            </w:tcMar>
            <w:vAlign w:val="center"/>
          </w:tcPr>
          <w:p>
            <w:pPr>
              <w:pStyle w:val="3"/>
              <w:widowControl w:val="0"/>
              <w:spacing w:line="360" w:lineRule="auto"/>
              <w:jc w:val="center"/>
              <w:rPr>
                <w:b/>
                <w:i/>
                <w:smallCaps/>
              </w:rPr>
            </w:pPr>
            <w:r>
              <w:t>40</w:t>
            </w:r>
          </w:p>
        </w:tc>
        <w:tc>
          <w:tcPr>
            <w:tcW w:w="8795" w:type="dxa"/>
            <w:shd w:val="clear" w:color="auto" w:fill="auto"/>
            <w:tcMar>
              <w:top w:w="0" w:type="dxa"/>
              <w:left w:w="0" w:type="dxa"/>
              <w:bottom w:w="0" w:type="dxa"/>
              <w:right w:w="0" w:type="dxa"/>
            </w:tcMar>
            <w:vAlign w:val="center"/>
          </w:tcPr>
          <w:p>
            <w:pPr>
              <w:pStyle w:val="3"/>
              <w:widowControl w:val="0"/>
              <w:spacing w:line="360" w:lineRule="auto"/>
              <w:jc w:val="center"/>
              <w:rPr>
                <w:b/>
                <w:sz w:val="20"/>
                <w:szCs w:val="20"/>
              </w:rPr>
            </w:pPr>
            <w:bookmarkStart w:id="91" w:name="_4cmhg48" w:colFirst="0" w:colLast="0"/>
            <w:bookmarkEnd w:id="91"/>
            <w:r>
              <w:rPr>
                <w:b/>
              </w:rPr>
              <w:t>Principes Ethiques</w:t>
            </w:r>
          </w:p>
          <w:p>
            <w:pPr>
              <w:pStyle w:val="3"/>
              <w:widowControl w:val="0"/>
              <w:spacing w:line="360" w:lineRule="auto"/>
              <w:jc w:val="both"/>
              <w:rPr>
                <w:b/>
                <w:i/>
                <w:smallCaps/>
              </w:rPr>
            </w:pPr>
            <w: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pPr>
              <w:pStyle w:val="3"/>
              <w:widowControl w:val="0"/>
              <w:numPr>
                <w:ilvl w:val="0"/>
                <w:numId w:val="39"/>
              </w:numPr>
              <w:spacing w:line="360" w:lineRule="auto"/>
              <w:ind w:left="708" w:hanging="284"/>
              <w:jc w:val="both"/>
              <w:rPr>
                <w:color w:val="000000"/>
                <w:sz w:val="22"/>
                <w:szCs w:val="22"/>
              </w:rPr>
            </w:pPr>
            <w:r>
              <w:rPr>
                <w:color w:val="000000"/>
                <w:sz w:val="22"/>
                <w:szCs w:val="22"/>
              </w:rPr>
              <w:t xml:space="preserve">est coupable de </w:t>
            </w:r>
            <w:r>
              <w:rPr>
                <w:b/>
                <w:color w:val="000000"/>
                <w:sz w:val="22"/>
                <w:szCs w:val="22"/>
              </w:rPr>
              <w:t>“corruption”</w:t>
            </w:r>
            <w:r>
              <w:rPr>
                <w:color w:val="000000"/>
                <w:sz w:val="22"/>
                <w:szCs w:val="22"/>
              </w:rPr>
              <w:t xml:space="preserve"> quiconque offre, donne, sollicite ou accepte directement ou indirectement un quelconque avantage en vue d’influencer l’action d’un agent public au cours de l’attribution ou de l’exécution d’un marché ou d’une lettre commande, et</w:t>
            </w:r>
          </w:p>
          <w:p>
            <w:pPr>
              <w:pStyle w:val="3"/>
              <w:widowControl w:val="0"/>
              <w:numPr>
                <w:ilvl w:val="0"/>
                <w:numId w:val="39"/>
              </w:numPr>
              <w:spacing w:line="360" w:lineRule="auto"/>
              <w:ind w:left="708" w:hanging="284"/>
              <w:jc w:val="both"/>
              <w:rPr>
                <w:color w:val="000000"/>
                <w:sz w:val="22"/>
                <w:szCs w:val="22"/>
              </w:rPr>
            </w:pPr>
            <w:r>
              <w:rPr>
                <w:color w:val="000000"/>
                <w:sz w:val="22"/>
                <w:szCs w:val="22"/>
              </w:rPr>
              <w:t xml:space="preserve">est coupable de ‘’corruption’’ quiconque fournit, sollicite ou accepte plusieurs offres  émises par le même soumissionnaire sous des noms des sociétés différentes et/ou sur des numéros d’enregistrement différents. </w:t>
            </w:r>
          </w:p>
          <w:p>
            <w:pPr>
              <w:pStyle w:val="3"/>
              <w:widowControl w:val="0"/>
              <w:numPr>
                <w:ilvl w:val="0"/>
                <w:numId w:val="39"/>
              </w:numPr>
              <w:spacing w:line="360" w:lineRule="auto"/>
              <w:ind w:left="708" w:hanging="425"/>
              <w:jc w:val="both"/>
              <w:rPr>
                <w:color w:val="ED7D31"/>
                <w:sz w:val="22"/>
                <w:szCs w:val="22"/>
              </w:rPr>
            </w:pPr>
            <w:r>
              <w:rPr>
                <w:color w:val="000000"/>
                <w:sz w:val="22"/>
                <w:szCs w:val="22"/>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pPr>
        <w:pStyle w:val="3"/>
        <w:widowControl w:val="0"/>
        <w:spacing w:line="360" w:lineRule="auto"/>
        <w:jc w:val="both"/>
        <w:rPr>
          <w:sz w:val="22"/>
          <w:szCs w:val="22"/>
        </w:rPr>
      </w:pPr>
    </w:p>
    <w:p>
      <w:pPr>
        <w:pStyle w:val="3"/>
        <w:widowControl w:val="0"/>
        <w:spacing w:line="360" w:lineRule="auto"/>
        <w:jc w:val="both"/>
        <w:rPr>
          <w:b/>
          <w:i/>
          <w:smallCaps/>
        </w:rPr>
      </w:pPr>
    </w:p>
    <w:p>
      <w:pPr>
        <w:pStyle w:val="3"/>
        <w:spacing w:line="360" w:lineRule="auto"/>
        <w:rPr>
          <w:b/>
          <w:i/>
          <w:smallCaps/>
        </w:rPr>
      </w:pPr>
      <w:r>
        <w:br w:type="textWrapping"/>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240" w:after="240" w:line="360" w:lineRule="auto"/>
        <w:ind w:left="851"/>
        <w:jc w:val="center"/>
        <w:rPr>
          <w:b/>
          <w:smallCaps/>
          <w:sz w:val="36"/>
          <w:szCs w:val="36"/>
        </w:rPr>
      </w:pPr>
      <w:bookmarkStart w:id="92" w:name="_2rrrqc1" w:colFirst="0" w:colLast="0"/>
      <w:bookmarkEnd w:id="92"/>
      <w:r>
        <w:rPr>
          <w:b/>
          <w:smallCaps/>
          <w:sz w:val="36"/>
          <w:szCs w:val="36"/>
        </w:rPr>
        <w:t xml:space="preserve">PIECE N°4 </w:t>
      </w:r>
    </w:p>
    <w:p>
      <w:pPr>
        <w:pStyle w:val="3"/>
        <w:widowControl w:val="0"/>
        <w:ind w:left="851" w:firstLine="1"/>
        <w:jc w:val="center"/>
        <w:rPr>
          <w:b/>
          <w:smallCaps/>
          <w:color w:val="000000"/>
          <w:sz w:val="36"/>
          <w:szCs w:val="36"/>
        </w:rPr>
      </w:pPr>
      <w:r>
        <w:rPr>
          <w:b/>
          <w:smallCaps/>
          <w:color w:val="000000"/>
          <w:sz w:val="36"/>
          <w:szCs w:val="36"/>
        </w:rPr>
        <w:t>CAHIER DES CLAUSES ADMINISTRATIVES PARTICULIÈRES (CCAP)</w:t>
      </w:r>
    </w:p>
    <w:p>
      <w:pPr>
        <w:pStyle w:val="3"/>
        <w:widowControl w:val="0"/>
        <w:spacing w:line="360" w:lineRule="auto"/>
        <w:ind w:left="1212" w:hanging="360"/>
        <w:jc w:val="center"/>
        <w:rPr>
          <w:color w:val="000000"/>
          <w:sz w:val="60"/>
          <w:szCs w:val="60"/>
        </w:rPr>
      </w:pPr>
    </w:p>
    <w:p>
      <w:pPr>
        <w:pStyle w:val="3"/>
        <w:rPr>
          <w:sz w:val="60"/>
          <w:szCs w:val="60"/>
        </w:rPr>
      </w:pPr>
      <w:r>
        <w:br w:type="textWrapping"/>
      </w:r>
    </w:p>
    <w:p>
      <w:pPr>
        <w:pStyle w:val="3"/>
        <w:pageBreakBefore/>
        <w:widowControl w:val="0"/>
        <w:spacing w:line="360" w:lineRule="auto"/>
        <w:jc w:val="center"/>
        <w:rPr>
          <w:sz w:val="32"/>
          <w:szCs w:val="32"/>
        </w:rPr>
      </w:pPr>
      <w:r>
        <w:rPr>
          <w:b/>
          <w:sz w:val="32"/>
          <w:szCs w:val="32"/>
        </w:rPr>
        <w:t>Table des matières</w:t>
      </w:r>
    </w:p>
    <w:p>
      <w:pPr>
        <w:pStyle w:val="3"/>
        <w:widowControl w:val="0"/>
        <w:spacing w:line="276" w:lineRule="auto"/>
        <w:rPr>
          <w:color w:val="000000"/>
          <w:u w:val="single"/>
        </w:rPr>
      </w:pPr>
      <w:r>
        <w:rPr>
          <w:color w:val="000000"/>
          <w:u w:val="single"/>
        </w:rPr>
        <w:t>CHAPITRE  I.</w:t>
      </w:r>
    </w:p>
    <w:sdt>
      <w:sdtPr>
        <w:id w:val="5864891"/>
      </w:sdtPr>
      <w:sdtContent>
        <w:p>
          <w:pPr>
            <w:pStyle w:val="3"/>
            <w:tabs>
              <w:tab w:val="left" w:pos="1540"/>
              <w:tab w:val="right" w:pos="9622"/>
            </w:tabs>
            <w:spacing w:after="120" w:line="360" w:lineRule="auto"/>
            <w:ind w:left="1560" w:hanging="1320"/>
            <w:rPr>
              <w:color w:val="000000"/>
            </w:rPr>
          </w:pPr>
          <w:r>
            <w:fldChar w:fldCharType="begin"/>
          </w:r>
          <w:r>
            <w:instrText xml:space="preserve"> TOC \h \u \z \t "Heading 1,1,Heading 2,2,Heading 3,3,Heading 4,4,Heading 5,5,Heading 6,6,"</w:instrText>
          </w:r>
          <w:r>
            <w:fldChar w:fldCharType="separate"/>
          </w:r>
          <w:r>
            <w:fldChar w:fldCharType="begin"/>
          </w:r>
          <w:r>
            <w:instrText xml:space="preserve"> HYPERLINK \l "_16x20ju" \h </w:instrText>
          </w:r>
          <w:r>
            <w:fldChar w:fldCharType="separate"/>
          </w:r>
          <w:r>
            <w:rPr>
              <w:color w:val="000000"/>
            </w:rPr>
            <w:tab/>
          </w:r>
          <w:r>
            <w:rPr>
              <w:color w:val="000000"/>
            </w:rPr>
            <w:fldChar w:fldCharType="end"/>
          </w:r>
          <w:r>
            <w:fldChar w:fldCharType="begin"/>
          </w:r>
          <w:r>
            <w:instrText xml:space="preserve"> PAGEREF _16x20ju \h </w:instrText>
          </w:r>
          <w:r>
            <w:fldChar w:fldCharType="separate"/>
          </w:r>
          <w:r>
            <w:rPr>
              <w:color w:val="000000"/>
              <w:u w:val="single"/>
            </w:rPr>
            <w:t>Généralités</w:t>
          </w:r>
          <w:r>
            <w:rPr>
              <w:color w:val="000000"/>
            </w:rPr>
            <w:tab/>
          </w:r>
          <w:r>
            <w:rPr>
              <w:color w:val="000000"/>
            </w:rPr>
            <w:t>81</w:t>
          </w:r>
          <w: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"_3qwpj7n" \h </w:instrText>
          </w:r>
          <w:r>
            <w:fldChar w:fldCharType="separate"/>
          </w:r>
          <w:r>
            <w:rPr>
              <w:color w:val="000000"/>
            </w:rPr>
            <w:tab/>
          </w:r>
          <w:r>
            <w:rPr>
              <w:color w:val="000000"/>
            </w:rPr>
            <w:tab/>
          </w:r>
          <w:r>
            <w:rPr>
              <w:color w:val="000000"/>
            </w:rPr>
            <w:t>81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"_261ztfg" \h </w:instrText>
          </w:r>
          <w:r>
            <w:fldChar w:fldCharType="separate"/>
          </w:r>
          <w:r>
            <w:rPr>
              <w:color w:val="000000"/>
            </w:rPr>
            <w:tab/>
          </w:r>
          <w:r>
            <w:rPr>
              <w:color w:val="000000"/>
            </w:rPr>
            <w:tab/>
          </w:r>
          <w:r>
            <w:rPr>
              <w:color w:val="000000"/>
            </w:rPr>
            <w:t>81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"_l7a3n9" \h </w:instrText>
          </w:r>
          <w:r>
            <w:fldChar w:fldCharType="separate"/>
          </w:r>
          <w:r>
            <w:rPr>
              <w:color w:val="000000"/>
            </w:rPr>
            <w:tab/>
          </w:r>
          <w:r>
            <w:rPr>
              <w:color w:val="000000"/>
            </w:rPr>
            <w:tab/>
          </w:r>
          <w:r>
            <w:rPr>
              <w:color w:val="000000"/>
            </w:rPr>
            <w:t>81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"_356xmb2" \h </w:instrText>
          </w:r>
          <w:r>
            <w:fldChar w:fldCharType="separate"/>
          </w:r>
          <w:r>
            <w:rPr>
              <w:color w:val="000000"/>
            </w:rPr>
            <w:tab/>
          </w:r>
          <w:r>
            <w:rPr>
              <w:color w:val="000000"/>
            </w:rPr>
            <w:tab/>
          </w:r>
          <w:r>
            <w:rPr>
              <w:color w:val="000000"/>
            </w:rPr>
            <w:t>82</w:t>
          </w:r>
          <w:r>
            <w:rPr>
              <w:color w:val="000000"/>
            </w:rPr>
            <w:fldChar w:fldCharType="end"/>
          </w:r>
        </w:p>
        <w:p>
          <w:pPr>
            <w:pStyle w:val="3"/>
            <w:rPr>
              <w:sz w:val="20"/>
              <w:szCs w:val="20"/>
            </w:rPr>
          </w:pPr>
          <w:r>
            <w:t xml:space="preserve">        Article 5.</w:t>
          </w:r>
          <w:r>
            <w:tab/>
          </w:r>
          <w:r>
            <w:t xml:space="preserve">     Normes ………………………………………………………………………….85</w:t>
          </w:r>
          <w:r>
            <w:tab/>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"_1kc7wiv" \h </w:instrText>
          </w:r>
          <w:r>
            <w:fldChar w:fldCharType="separate"/>
          </w:r>
          <w:r>
            <w:rPr>
              <w:color w:val="000000"/>
              <w:u w:val="single"/>
            </w:rPr>
            <w:t>6.</w:t>
          </w:r>
          <w:r>
            <w:rPr>
              <w:color w:val="000000"/>
              <w:u w:val="single"/>
            </w:rPr>
            <w:fldChar w:fldCharType="end"/>
          </w:r>
          <w:r>
            <w:fldChar w:fldCharType="begin"/>
          </w:r>
          <w:r>
            <w:instrText xml:space="preserve"> HYPERLINK \l "_1kc7wiv" \h </w:instrText>
          </w:r>
          <w:r>
            <w:fldChar w:fldCharType="separate"/>
          </w:r>
          <w:r>
            <w:rPr>
              <w:color w:val="000000"/>
            </w:rPr>
            <w:tab/>
          </w:r>
          <w:r>
            <w:rPr>
              <w:color w:val="000000"/>
            </w:rPr>
            <w:tab/>
          </w:r>
          <w:r>
            <w:rPr>
              <w:color w:val="000000"/>
            </w:rPr>
            <w:fldChar w:fldCharType="end"/>
          </w:r>
          <w:r>
            <w:rPr>
              <w:color w:val="000000"/>
            </w:rPr>
            <w:t>85</w:t>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"_44bvf6o" \h </w:instrText>
          </w:r>
          <w:r>
            <w:fldChar w:fldCharType="separate"/>
          </w:r>
          <w:r>
            <w:rPr>
              <w:color w:val="000000"/>
              <w:u w:val="single"/>
            </w:rPr>
            <w:t>7.</w:t>
          </w:r>
          <w:r>
            <w:rPr>
              <w:color w:val="000000"/>
              <w:u w:val="single"/>
            </w:rPr>
            <w:fldChar w:fldCharType="end"/>
          </w:r>
          <w:r>
            <w:fldChar w:fldCharType="begin"/>
          </w:r>
          <w:r>
            <w:instrText xml:space="preserve"> HYPERLINK \l "_44bvf6o" \h </w:instrText>
          </w:r>
          <w:r>
            <w:fldChar w:fldCharType="separate"/>
          </w:r>
          <w:r>
            <w:rPr>
              <w:color w:val="000000"/>
            </w:rPr>
            <w:tab/>
          </w:r>
          <w:r>
            <w:rPr>
              <w:color w:val="000000"/>
            </w:rPr>
            <w:tab/>
          </w:r>
          <w:r>
            <w:rPr>
              <w:color w:val="000000"/>
            </w:rPr>
            <w:t>82</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"_2jh5peh" \h </w:instrText>
          </w:r>
          <w:r>
            <w:fldChar w:fldCharType="separate"/>
          </w:r>
          <w:r>
            <w:rPr>
              <w:color w:val="000000"/>
              <w:u w:val="single"/>
            </w:rPr>
            <w:t>8.</w:t>
          </w:r>
          <w:r>
            <w:rPr>
              <w:color w:val="000000"/>
              <w:u w:val="single"/>
            </w:rPr>
            <w:fldChar w:fldCharType="end"/>
          </w:r>
          <w:r>
            <w:fldChar w:fldCharType="begin"/>
          </w:r>
          <w:r>
            <w:instrText xml:space="preserve"> HYPERLINK \l "_2jh5peh" \h </w:instrText>
          </w:r>
          <w:r>
            <w:fldChar w:fldCharType="separate"/>
          </w:r>
          <w:r>
            <w:rPr>
              <w:color w:val="000000"/>
            </w:rPr>
            <w:tab/>
          </w:r>
          <w:r>
            <w:rPr>
              <w:color w:val="000000"/>
            </w:rPr>
            <w:tab/>
          </w:r>
          <w:r>
            <w:rPr>
              <w:color w:val="000000"/>
            </w:rPr>
            <w:t>83</w:t>
          </w:r>
          <w:r>
            <w:rPr>
              <w:color w:val="000000"/>
            </w:rPr>
            <w:fldChar w:fldCharType="end"/>
          </w:r>
        </w:p>
        <w:p>
          <w:pPr>
            <w:pStyle w:val="3"/>
            <w:tabs>
              <w:tab w:val="left" w:pos="1540"/>
              <w:tab w:val="right" w:pos="9622"/>
            </w:tabs>
            <w:spacing w:after="120" w:line="360" w:lineRule="auto"/>
            <w:ind w:left="1560" w:hanging="1320"/>
            <w:rPr>
              <w:color w:val="000000"/>
            </w:rPr>
          </w:pPr>
          <w:r>
            <w:rPr>
              <w:color w:val="000000"/>
              <w:u w:val="single"/>
            </w:rPr>
            <w:t>CHAPITRE  II.</w:t>
          </w:r>
          <w:r>
            <w:fldChar w:fldCharType="begin"/>
          </w:r>
          <w:r>
            <w:instrText xml:space="preserve"> HYPERLINK \l "_ymfzma" \h </w:instrText>
          </w:r>
          <w:r>
            <w:fldChar w:fldCharType="separate"/>
          </w:r>
          <w:r>
            <w:rPr>
              <w:color w:val="000000"/>
            </w:rPr>
            <w:tab/>
          </w:r>
          <w:r>
            <w:rPr>
              <w:color w:val="000000"/>
            </w:rPr>
            <w:tab/>
          </w:r>
          <w:r>
            <w:rPr>
              <w:color w:val="000000"/>
            </w:rPr>
            <w:t>83</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"_3im3ia3" \h </w:instrText>
          </w:r>
          <w:r>
            <w:fldChar w:fldCharType="separate"/>
          </w:r>
          <w:r>
            <w:rPr>
              <w:color w:val="000000"/>
              <w:u w:val="single"/>
            </w:rPr>
            <w:t>9.</w:t>
          </w:r>
          <w:r>
            <w:rPr>
              <w:color w:val="000000"/>
              <w:u w:val="single"/>
            </w:rPr>
            <w:fldChar w:fldCharType="end"/>
          </w:r>
          <w:r>
            <w:fldChar w:fldCharType="begin"/>
          </w:r>
          <w:r>
            <w:instrText xml:space="preserve"> HYPERLINK \l "_3im3ia3" \h </w:instrText>
          </w:r>
          <w:r>
            <w:fldChar w:fldCharType="separate"/>
          </w:r>
          <w:r>
            <w:rPr>
              <w:color w:val="000000"/>
            </w:rPr>
            <w:tab/>
          </w:r>
          <w:r>
            <w:rPr>
              <w:color w:val="000000"/>
            </w:rPr>
            <w:tab/>
          </w:r>
          <w:r>
            <w:rPr>
              <w:color w:val="000000"/>
            </w:rPr>
            <w:t>83</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"_1xrdshw" \h </w:instrText>
          </w:r>
          <w:r>
            <w:fldChar w:fldCharType="separate"/>
          </w:r>
          <w:r>
            <w:rPr>
              <w:color w:val="000000"/>
              <w:u w:val="single"/>
            </w:rPr>
            <w:t>10.</w:t>
          </w:r>
          <w:r>
            <w:rPr>
              <w:color w:val="000000"/>
              <w:u w:val="single"/>
            </w:rPr>
            <w:fldChar w:fldCharType="end"/>
          </w:r>
          <w:r>
            <w:fldChar w:fldCharType="begin"/>
          </w:r>
          <w:r>
            <w:instrText xml:space="preserve"> HYPERLINK \l "_1xrdshw" \h </w:instrText>
          </w:r>
          <w:r>
            <w:fldChar w:fldCharType="separate"/>
          </w:r>
          <w:r>
            <w:rPr>
              <w:color w:val="000000"/>
            </w:rPr>
            <w:tab/>
          </w:r>
          <w:r>
            <w:rPr>
              <w:color w:val="000000"/>
            </w:rPr>
            <w:tab/>
          </w:r>
          <w:r>
            <w:rPr>
              <w:color w:val="000000"/>
            </w:rPr>
            <w:fldChar w:fldCharType="end"/>
          </w:r>
          <w:r>
            <w:rPr>
              <w:color w:val="000000"/>
            </w:rPr>
            <w:t>87</w:t>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"_4hr1b5p" \h </w:instrText>
          </w:r>
          <w:r>
            <w:fldChar w:fldCharType="separate"/>
          </w:r>
          <w:r>
            <w:rPr>
              <w:color w:val="000000"/>
              <w:u w:val="single"/>
            </w:rPr>
            <w:t>11.</w:t>
          </w:r>
          <w:r>
            <w:rPr>
              <w:color w:val="000000"/>
              <w:u w:val="single"/>
            </w:rPr>
            <w:fldChar w:fldCharType="end"/>
          </w:r>
          <w:r>
            <w:fldChar w:fldCharType="begin"/>
          </w:r>
          <w:r>
            <w:instrText xml:space="preserve"> HYPERLINK \l "_4hr1b5p" \h </w:instrText>
          </w:r>
          <w:r>
            <w:fldChar w:fldCharType="separate"/>
          </w:r>
          <w:r>
            <w:rPr>
              <w:color w:val="000000"/>
            </w:rPr>
            <w:tab/>
          </w:r>
          <w:r>
            <w:rPr>
              <w:color w:val="000000"/>
            </w:rPr>
            <w:tab/>
          </w:r>
          <w:r>
            <w:rPr>
              <w:color w:val="000000"/>
            </w:rPr>
            <w:t>84</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"_2wwbldi" \h </w:instrText>
          </w:r>
          <w:r>
            <w:fldChar w:fldCharType="separate"/>
          </w:r>
          <w:r>
            <w:rPr>
              <w:color w:val="000000"/>
              <w:u w:val="single"/>
            </w:rPr>
            <w:t>2.</w:t>
          </w:r>
          <w:r>
            <w:rPr>
              <w:color w:val="000000"/>
              <w:u w:val="single"/>
            </w:rPr>
            <w:fldChar w:fldCharType="end"/>
          </w:r>
          <w:r>
            <w:fldChar w:fldCharType="begin"/>
          </w:r>
          <w:r>
            <w:instrText xml:space="preserve"> HYPERLINK \l "_2wwbldi" \h </w:instrText>
          </w:r>
          <w:r>
            <w:fldChar w:fldCharType="separate"/>
          </w:r>
          <w:r>
            <w:rPr>
              <w:color w:val="000000"/>
            </w:rPr>
            <w:tab/>
          </w:r>
          <w:r>
            <w:rPr>
              <w:color w:val="000000"/>
            </w:rPr>
            <w:tab/>
          </w:r>
          <w:r>
            <w:rPr>
              <w:color w:val="000000"/>
            </w:rPr>
            <w:t>84</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"_1c1lvlb" \h </w:instrText>
          </w:r>
          <w:r>
            <w:fldChar w:fldCharType="separate"/>
          </w:r>
          <w:r>
            <w:rPr>
              <w:color w:val="000000"/>
              <w:u w:val="single"/>
            </w:rPr>
            <w:t>3.</w:t>
          </w:r>
          <w:r>
            <w:rPr>
              <w:color w:val="000000"/>
              <w:u w:val="single"/>
            </w:rPr>
            <w:fldChar w:fldCharType="end"/>
          </w:r>
          <w:r>
            <w:fldChar w:fldCharType="begin"/>
          </w:r>
          <w:r>
            <w:instrText xml:space="preserve"> HYPERLINK \l "_1c1lvlb" \h </w:instrText>
          </w:r>
          <w:r>
            <w:fldChar w:fldCharType="separate"/>
          </w:r>
          <w:r>
            <w:rPr>
              <w:color w:val="000000"/>
            </w:rPr>
            <w:tab/>
          </w:r>
          <w:r>
            <w:rPr>
              <w:color w:val="000000"/>
            </w:rPr>
            <w:tab/>
          </w:r>
          <w:r>
            <w:rPr>
              <w:color w:val="000000"/>
            </w:rPr>
            <w:t>85</w:t>
          </w:r>
          <w:r>
            <w:rPr>
              <w:color w:val="000000"/>
            </w:rPr>
            <w:fldChar w:fldCharType="end"/>
          </w:r>
        </w:p>
        <w:p>
          <w:pPr>
            <w:pStyle w:val="3"/>
            <w:rPr>
              <w:sz w:val="20"/>
              <w:szCs w:val="20"/>
            </w:rPr>
          </w:pPr>
          <w:r>
            <w:t xml:space="preserve">        </w:t>
          </w:r>
          <w:r>
            <w:rPr>
              <w:color w:val="0000FF"/>
              <w:u w:val="single"/>
            </w:rPr>
            <w:t>Article 14.     Marchés à tranches conditionnelles……………………………………………</w:t>
          </w:r>
          <w:r>
            <w:fldChar w:fldCharType="begin"/>
          </w:r>
          <w:r>
            <w:instrText xml:space="preserve"> HYPERLINK \l "_1c1lvlb" \h </w:instrText>
          </w:r>
          <w:r>
            <w:fldChar w:fldCharType="separate"/>
          </w:r>
          <w:r>
            <w:rPr>
              <w:color w:val="0000FF"/>
              <w:u w:val="single"/>
            </w:rPr>
            <w:tab/>
          </w:r>
          <w:r>
            <w:rPr>
              <w:color w:val="0000FF"/>
              <w:u w:val="single"/>
            </w:rPr>
            <w:t>85</w:t>
          </w:r>
          <w:r>
            <w:rPr>
              <w:color w:val="0000FF"/>
              <w:u w:val="single"/>
            </w:rPr>
            <w:fldChar w:fldCharType="end"/>
          </w:r>
        </w:p>
        <w:p>
          <w:pPr>
            <w:pStyle w:val="3"/>
            <w:rPr>
              <w:sz w:val="20"/>
              <w:szCs w:val="20"/>
            </w:rPr>
          </w:pPr>
          <w:r>
            <w:t xml:space="preserve">    </w:t>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"_3w19e94" \h </w:instrText>
          </w:r>
          <w:r>
            <w:fldChar w:fldCharType="separate"/>
          </w:r>
          <w:r>
            <w:rPr>
              <w:color w:val="000000"/>
              <w:u w:val="single"/>
            </w:rPr>
            <w:t>5.</w:t>
          </w:r>
          <w:r>
            <w:rPr>
              <w:color w:val="000000"/>
              <w:u w:val="single"/>
            </w:rPr>
            <w:fldChar w:fldCharType="end"/>
          </w:r>
          <w:r>
            <w:fldChar w:fldCharType="begin"/>
          </w:r>
          <w:r>
            <w:instrText xml:space="preserve"> HYPERLINK \l "_3w19e94" \h </w:instrText>
          </w:r>
          <w:r>
            <w:fldChar w:fldCharType="separate"/>
          </w:r>
          <w:r>
            <w:rPr>
              <w:color w:val="000000"/>
            </w:rPr>
            <w:tab/>
          </w:r>
          <w:r>
            <w:rPr>
              <w:color w:val="000000"/>
            </w:rPr>
            <w:tab/>
          </w:r>
          <w:r>
            <w:rPr>
              <w:color w:val="000000"/>
            </w:rPr>
            <w:t>87</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"_2b6jogx" \h </w:instrText>
          </w:r>
          <w:r>
            <w:fldChar w:fldCharType="separate"/>
          </w:r>
          <w:r>
            <w:rPr>
              <w:color w:val="000000"/>
              <w:u w:val="single"/>
            </w:rPr>
            <w:t>6.</w:t>
          </w:r>
          <w:r>
            <w:rPr>
              <w:color w:val="000000"/>
              <w:u w:val="single"/>
            </w:rPr>
            <w:fldChar w:fldCharType="end"/>
          </w:r>
          <w:r>
            <w:fldChar w:fldCharType="begin"/>
          </w:r>
          <w:r>
            <w:instrText xml:space="preserve"> HYPERLINK \l "_2b6jogx" \h </w:instrText>
          </w:r>
          <w:r>
            <w:fldChar w:fldCharType="separate"/>
          </w:r>
          <w:r>
            <w:rPr>
              <w:color w:val="000000"/>
            </w:rPr>
            <w:tab/>
          </w:r>
          <w:r>
            <w:rPr>
              <w:color w:val="000000"/>
            </w:rPr>
            <w:tab/>
          </w:r>
          <w:r>
            <w:rPr>
              <w:color w:val="000000"/>
            </w:rPr>
            <w:t>88</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"_qbtyoq" \h </w:instrText>
          </w:r>
          <w:r>
            <w:fldChar w:fldCharType="separate"/>
          </w:r>
          <w:r>
            <w:rPr>
              <w:color w:val="000000"/>
              <w:u w:val="single"/>
            </w:rPr>
            <w:t>7.</w:t>
          </w:r>
          <w:r>
            <w:rPr>
              <w:color w:val="000000"/>
              <w:u w:val="single"/>
            </w:rPr>
            <w:fldChar w:fldCharType="end"/>
          </w:r>
          <w:r>
            <w:fldChar w:fldCharType="begin"/>
          </w:r>
          <w:r>
            <w:instrText xml:space="preserve"> HYPERLINK \l "_qbtyoq" \h </w:instrText>
          </w:r>
          <w:r>
            <w:fldChar w:fldCharType="separate"/>
          </w:r>
          <w:r>
            <w:rPr>
              <w:color w:val="000000"/>
            </w:rPr>
            <w:tab/>
          </w:r>
          <w:r>
            <w:rPr>
              <w:color w:val="000000"/>
            </w:rPr>
            <w:tab/>
          </w:r>
          <w:r>
            <w:rPr>
              <w:color w:val="000000"/>
            </w:rPr>
            <w:t>89</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"_3abhhcj" \h </w:instrText>
          </w:r>
          <w:r>
            <w:fldChar w:fldCharType="separate"/>
          </w:r>
          <w:r>
            <w:rPr>
              <w:color w:val="000000"/>
              <w:u w:val="single"/>
            </w:rPr>
            <w:t>8.</w:t>
          </w:r>
          <w:r>
            <w:rPr>
              <w:color w:val="000000"/>
              <w:u w:val="single"/>
            </w:rPr>
            <w:fldChar w:fldCharType="end"/>
          </w:r>
          <w:r>
            <w:fldChar w:fldCharType="begin"/>
          </w:r>
          <w:r>
            <w:instrText xml:space="preserve"> HYPERLINK \l "_3abhhcj" \h </w:instrText>
          </w:r>
          <w:r>
            <w:fldChar w:fldCharType="separate"/>
          </w:r>
          <w:r>
            <w:rPr>
              <w:color w:val="000000"/>
            </w:rPr>
            <w:tab/>
          </w:r>
          <w:r>
            <w:rPr>
              <w:color w:val="000000"/>
            </w:rPr>
            <w:tab/>
          </w:r>
          <w:r>
            <w:rPr>
              <w:color w:val="000000"/>
            </w:rPr>
            <w:t>89</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1</w:t>
          </w:r>
          <w:r>
            <w:fldChar w:fldCharType="begin"/>
          </w:r>
          <w:r>
            <w:instrText xml:space="preserve"> HYPERLINK \l "_1pgrrkc" \h </w:instrText>
          </w:r>
          <w:r>
            <w:fldChar w:fldCharType="separate"/>
          </w:r>
          <w:r>
            <w:rPr>
              <w:color w:val="000000"/>
              <w:u w:val="single"/>
            </w:rPr>
            <w:t>9.</w:t>
          </w:r>
          <w:r>
            <w:rPr>
              <w:color w:val="000000"/>
              <w:u w:val="single"/>
            </w:rPr>
            <w:fldChar w:fldCharType="end"/>
          </w:r>
          <w:r>
            <w:fldChar w:fldCharType="begin"/>
          </w:r>
          <w:r>
            <w:instrText xml:space="preserve"> HYPERLINK \l "_1pgrrkc" \h </w:instrText>
          </w:r>
          <w:r>
            <w:fldChar w:fldCharType="separate"/>
          </w:r>
          <w:r>
            <w:rPr>
              <w:color w:val="000000"/>
            </w:rPr>
            <w:tab/>
          </w:r>
          <w:r>
            <w:rPr>
              <w:color w:val="000000"/>
            </w:rPr>
            <w:fldChar w:fldCharType="end"/>
          </w:r>
          <w:r>
            <w:fldChar w:fldCharType="begin"/>
          </w:r>
          <w:r>
            <w:instrText xml:space="preserve"> PAGEREF _1pgrrkc \h </w:instrText>
          </w:r>
          <w:r>
            <w:fldChar w:fldCharType="separate"/>
          </w:r>
          <w:r>
            <w:rPr>
              <w:color w:val="000000"/>
              <w:u w:val="single"/>
            </w:rPr>
            <w:t>Sous-traitance</w:t>
          </w:r>
          <w:r>
            <w:rPr>
              <w:color w:val="000000"/>
            </w:rPr>
            <w:tab/>
          </w:r>
          <w:r>
            <w:rPr>
              <w:color w:val="000000"/>
            </w:rPr>
            <w:t>90</w:t>
          </w:r>
          <w: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"_49gfa85" \h </w:instrText>
          </w:r>
          <w:r>
            <w:fldChar w:fldCharType="separate"/>
          </w:r>
          <w:r>
            <w:rPr>
              <w:color w:val="000000"/>
              <w:u w:val="single"/>
            </w:rPr>
            <w:t>20.</w:t>
          </w:r>
          <w:r>
            <w:rPr>
              <w:color w:val="000000"/>
              <w:u w:val="single"/>
            </w:rPr>
            <w:fldChar w:fldCharType="end"/>
          </w:r>
          <w:r>
            <w:fldChar w:fldCharType="begin"/>
          </w:r>
          <w:r>
            <w:instrText xml:space="preserve"> HYPERLINK \l "_49gfa85" \h </w:instrText>
          </w:r>
          <w:r>
            <w:fldChar w:fldCharType="separate"/>
          </w:r>
          <w:r>
            <w:rPr>
              <w:color w:val="000000"/>
            </w:rPr>
            <w:tab/>
          </w:r>
          <w:r>
            <w:rPr>
              <w:color w:val="000000"/>
            </w:rPr>
            <w:tab/>
          </w:r>
          <w:r>
            <w:rPr>
              <w:color w:val="000000"/>
            </w:rPr>
            <w:t>91</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"_2olpkfy" \h </w:instrText>
          </w:r>
          <w:r>
            <w:fldChar w:fldCharType="separate"/>
          </w:r>
          <w:r>
            <w:rPr>
              <w:color w:val="000000"/>
              <w:u w:val="single"/>
            </w:rPr>
            <w:t>21.</w:t>
          </w:r>
          <w:r>
            <w:rPr>
              <w:color w:val="000000"/>
              <w:u w:val="single"/>
            </w:rPr>
            <w:fldChar w:fldCharType="end"/>
          </w:r>
          <w:r>
            <w:fldChar w:fldCharType="begin"/>
          </w:r>
          <w:r>
            <w:instrText xml:space="preserve"> HYPERLINK \l "_2olpkfy" \h </w:instrText>
          </w:r>
          <w:r>
            <w:fldChar w:fldCharType="separate"/>
          </w:r>
          <w:r>
            <w:rPr>
              <w:color w:val="000000"/>
            </w:rPr>
            <w:tab/>
          </w:r>
          <w:r>
            <w:rPr>
              <w:color w:val="000000"/>
            </w:rPr>
            <w:tab/>
          </w:r>
          <w:r>
            <w:rPr>
              <w:color w:val="000000"/>
            </w:rPr>
            <w:t>91</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"_13qzunr" \h </w:instrText>
          </w:r>
          <w:r>
            <w:fldChar w:fldCharType="separate"/>
          </w:r>
          <w:r>
            <w:rPr>
              <w:color w:val="000000"/>
              <w:u w:val="single"/>
            </w:rPr>
            <w:t>22.</w:t>
          </w:r>
          <w:r>
            <w:rPr>
              <w:color w:val="000000"/>
              <w:u w:val="single"/>
            </w:rPr>
            <w:fldChar w:fldCharType="end"/>
          </w:r>
          <w:r>
            <w:fldChar w:fldCharType="begin"/>
          </w:r>
          <w:r>
            <w:instrText xml:space="preserve"> HYPERLINK \l "_13qzunr" \h </w:instrText>
          </w:r>
          <w:r>
            <w:fldChar w:fldCharType="separate"/>
          </w:r>
          <w:r>
            <w:rPr>
              <w:color w:val="000000"/>
            </w:rPr>
            <w:tab/>
          </w:r>
          <w:r>
            <w:rPr>
              <w:color w:val="000000"/>
            </w:rPr>
            <w:tab/>
          </w:r>
          <w:r>
            <w:rPr>
              <w:color w:val="000000"/>
            </w:rPr>
            <w:t>91</w:t>
          </w:r>
          <w:r>
            <w:rPr>
              <w:color w:val="000000"/>
            </w:rPr>
            <w:fldChar w:fldCharType="end"/>
          </w:r>
        </w:p>
        <w:p>
          <w:pPr>
            <w:pStyle w:val="3"/>
            <w:tabs>
              <w:tab w:val="left" w:pos="1540"/>
              <w:tab w:val="right" w:pos="9622"/>
            </w:tabs>
            <w:spacing w:after="120" w:line="360" w:lineRule="auto"/>
            <w:ind w:left="1560" w:hanging="1320"/>
            <w:rPr>
              <w:color w:val="000000"/>
            </w:rPr>
          </w:pPr>
          <w:r>
            <w:rPr>
              <w:color w:val="000000"/>
              <w:u w:val="single"/>
            </w:rPr>
            <w:t>CHAPITRE  III De la réception</w:t>
          </w:r>
          <w:r>
            <w:fldChar w:fldCharType="begin"/>
          </w:r>
          <w:r>
            <w:instrText xml:space="preserve"> HYPERLINK \l "_3nqndbk" \h </w:instrText>
          </w:r>
          <w:r>
            <w:fldChar w:fldCharType="separate"/>
          </w:r>
          <w:r>
            <w:rPr>
              <w:color w:val="000000"/>
            </w:rPr>
            <w:tab/>
          </w:r>
          <w:r>
            <w:rPr>
              <w:color w:val="000000"/>
            </w:rPr>
            <w:t>91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"_22vxnjd" \h </w:instrText>
          </w:r>
          <w:r>
            <w:fldChar w:fldCharType="separate"/>
          </w:r>
          <w:r>
            <w:rPr>
              <w:color w:val="000000"/>
              <w:u w:val="single"/>
            </w:rPr>
            <w:t>3.</w:t>
          </w:r>
          <w:r>
            <w:rPr>
              <w:color w:val="000000"/>
              <w:u w:val="single"/>
            </w:rPr>
            <w:fldChar w:fldCharType="end"/>
          </w:r>
          <w:r>
            <w:fldChar w:fldCharType="begin"/>
          </w:r>
          <w:r>
            <w:instrText xml:space="preserve"> HYPERLINK \l "_22vxnjd" \h </w:instrText>
          </w:r>
          <w:r>
            <w:fldChar w:fldCharType="separate"/>
          </w:r>
          <w:r>
            <w:rPr>
              <w:color w:val="000000"/>
            </w:rPr>
            <w:tab/>
          </w:r>
          <w:r>
            <w:rPr>
              <w:color w:val="000000"/>
            </w:rPr>
            <w:tab/>
          </w:r>
          <w:r>
            <w:rPr>
              <w:color w:val="000000"/>
            </w:rPr>
            <w:t>91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"_i17xr6" \h </w:instrText>
          </w:r>
          <w:r>
            <w:fldChar w:fldCharType="separate"/>
          </w:r>
          <w:r>
            <w:rPr>
              <w:color w:val="000000"/>
              <w:u w:val="single"/>
            </w:rPr>
            <w:t>4.</w:t>
          </w:r>
          <w:r>
            <w:rPr>
              <w:color w:val="000000"/>
              <w:u w:val="single"/>
            </w:rPr>
            <w:fldChar w:fldCharType="end"/>
          </w:r>
          <w:r>
            <w:fldChar w:fldCharType="begin"/>
          </w:r>
          <w:r>
            <w:instrText xml:space="preserve"> HYPERLINK \l "_i17xr6" \h </w:instrText>
          </w:r>
          <w:r>
            <w:fldChar w:fldCharType="separate"/>
          </w:r>
          <w:r>
            <w:rPr>
              <w:color w:val="000000"/>
            </w:rPr>
            <w:tab/>
          </w:r>
          <w:r>
            <w:rPr>
              <w:color w:val="000000"/>
            </w:rPr>
            <w:tab/>
          </w:r>
          <w:r>
            <w:rPr>
              <w:color w:val="000000"/>
            </w:rPr>
            <w:t>93</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"_320vgez" \h </w:instrText>
          </w:r>
          <w:r>
            <w:fldChar w:fldCharType="separate"/>
          </w:r>
          <w:r>
            <w:rPr>
              <w:color w:val="000000"/>
              <w:u w:val="single"/>
            </w:rPr>
            <w:t>5.</w:t>
          </w:r>
          <w:r>
            <w:rPr>
              <w:color w:val="000000"/>
              <w:u w:val="single"/>
            </w:rPr>
            <w:fldChar w:fldCharType="end"/>
          </w:r>
          <w:r>
            <w:fldChar w:fldCharType="begin"/>
          </w:r>
          <w:r>
            <w:instrText xml:space="preserve"> HYPERLINK \l "_320vgez" \h </w:instrText>
          </w:r>
          <w:r>
            <w:fldChar w:fldCharType="separate"/>
          </w:r>
          <w:r>
            <w:rPr>
              <w:color w:val="000000"/>
            </w:rPr>
            <w:tab/>
          </w:r>
          <w:r>
            <w:rPr>
              <w:color w:val="000000"/>
            </w:rPr>
            <w:tab/>
          </w:r>
          <w:r>
            <w:rPr>
              <w:color w:val="000000"/>
            </w:rPr>
            <w:t>93</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"_1h65qms" \h </w:instrText>
          </w:r>
          <w:r>
            <w:fldChar w:fldCharType="separate"/>
          </w:r>
          <w:r>
            <w:rPr>
              <w:color w:val="000000"/>
              <w:u w:val="single"/>
            </w:rPr>
            <w:t>6.</w:t>
          </w:r>
          <w:r>
            <w:rPr>
              <w:color w:val="000000"/>
              <w:u w:val="single"/>
            </w:rPr>
            <w:fldChar w:fldCharType="end"/>
          </w:r>
          <w:r>
            <w:fldChar w:fldCharType="begin"/>
          </w:r>
          <w:r>
            <w:instrText xml:space="preserve"> HYPERLINK \l "_1h65qms" \h </w:instrText>
          </w:r>
          <w:r>
            <w:fldChar w:fldCharType="separate"/>
          </w:r>
          <w:r>
            <w:rPr>
              <w:color w:val="000000"/>
            </w:rPr>
            <w:tab/>
          </w:r>
          <w:r>
            <w:rPr>
              <w:color w:val="000000"/>
            </w:rPr>
            <w:tab/>
          </w:r>
          <w:r>
            <w:rPr>
              <w:color w:val="000000"/>
            </w:rPr>
            <w:t>94</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"_415t9al" \h </w:instrText>
          </w:r>
          <w:r>
            <w:fldChar w:fldCharType="separate"/>
          </w:r>
          <w:r>
            <w:rPr>
              <w:color w:val="000000"/>
              <w:u w:val="single"/>
            </w:rPr>
            <w:t>7.</w:t>
          </w:r>
          <w:r>
            <w:rPr>
              <w:color w:val="000000"/>
              <w:u w:val="single"/>
            </w:rPr>
            <w:fldChar w:fldCharType="end"/>
          </w:r>
          <w:r>
            <w:fldChar w:fldCharType="begin"/>
          </w:r>
          <w:r>
            <w:instrText xml:space="preserve"> HYPERLINK \l "_415t9al" \h </w:instrText>
          </w:r>
          <w:r>
            <w:fldChar w:fldCharType="separate"/>
          </w:r>
          <w:r>
            <w:rPr>
              <w:color w:val="000000"/>
            </w:rPr>
            <w:tab/>
          </w:r>
          <w:r>
            <w:rPr>
              <w:color w:val="000000"/>
            </w:rPr>
            <w:tab/>
          </w:r>
          <w:r>
            <w:rPr>
              <w:color w:val="000000"/>
            </w:rPr>
            <w:t>94</w:t>
          </w:r>
          <w:r>
            <w:rPr>
              <w:color w:val="000000"/>
            </w:rPr>
            <w:fldChar w:fldCharType="end"/>
          </w:r>
        </w:p>
        <w:p>
          <w:pPr>
            <w:pStyle w:val="3"/>
            <w:tabs>
              <w:tab w:val="left" w:pos="1540"/>
              <w:tab w:val="right" w:pos="9622"/>
            </w:tabs>
            <w:spacing w:after="120" w:line="360" w:lineRule="auto"/>
            <w:ind w:left="1560" w:hanging="1320"/>
            <w:rPr>
              <w:color w:val="000000"/>
            </w:rPr>
          </w:pPr>
          <w:r>
            <w:rPr>
              <w:color w:val="000000"/>
              <w:u w:val="single"/>
            </w:rPr>
            <w:t>CHAPITRE  IV.Clauses financières</w:t>
          </w:r>
          <w:r>
            <w:fldChar w:fldCharType="begin"/>
          </w:r>
          <w:r>
            <w:instrText xml:space="preserve"> HYPERLINK \l "_2gb3jie" \h </w:instrText>
          </w:r>
          <w:r>
            <w:fldChar w:fldCharType="separate"/>
          </w:r>
          <w:r>
            <w:rPr>
              <w:color w:val="000000"/>
            </w:rPr>
            <w:tab/>
          </w:r>
          <w:r>
            <w:rPr>
              <w:color w:val="000000"/>
            </w:rPr>
            <w:t>94</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"_vgdtq7" \h </w:instrText>
          </w:r>
          <w:r>
            <w:fldChar w:fldCharType="separate"/>
          </w:r>
          <w:r>
            <w:rPr>
              <w:color w:val="000000"/>
              <w:u w:val="single"/>
            </w:rPr>
            <w:t>8.</w:t>
          </w:r>
          <w:r>
            <w:rPr>
              <w:color w:val="000000"/>
              <w:u w:val="single"/>
            </w:rPr>
            <w:fldChar w:fldCharType="end"/>
          </w:r>
          <w:r>
            <w:fldChar w:fldCharType="begin"/>
          </w:r>
          <w:r>
            <w:instrText xml:space="preserve"> HYPERLINK \l "_vgdtq7" \h </w:instrText>
          </w:r>
          <w:r>
            <w:fldChar w:fldCharType="separate"/>
          </w:r>
          <w:r>
            <w:rPr>
              <w:color w:val="000000"/>
            </w:rPr>
            <w:tab/>
          </w:r>
          <w:r>
            <w:rPr>
              <w:color w:val="000000"/>
            </w:rPr>
            <w:tab/>
          </w:r>
          <w:r>
            <w:rPr>
              <w:color w:val="000000"/>
            </w:rPr>
            <w:t>94</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2</w:t>
          </w:r>
          <w:r>
            <w:fldChar w:fldCharType="begin"/>
          </w:r>
          <w:r>
            <w:instrText xml:space="preserve"> HYPERLINK \l "_3fg1ce0" \h </w:instrText>
          </w:r>
          <w:r>
            <w:fldChar w:fldCharType="separate"/>
          </w:r>
          <w:r>
            <w:rPr>
              <w:color w:val="000000"/>
              <w:u w:val="single"/>
            </w:rPr>
            <w:t>9.</w:t>
          </w:r>
          <w:r>
            <w:rPr>
              <w:color w:val="000000"/>
              <w:u w:val="single"/>
            </w:rPr>
            <w:fldChar w:fldCharType="end"/>
          </w:r>
          <w:r>
            <w:fldChar w:fldCharType="begin"/>
          </w:r>
          <w:r>
            <w:instrText xml:space="preserve"> HYPERLINK \l "_3fg1ce0" \h </w:instrText>
          </w:r>
          <w:r>
            <w:fldChar w:fldCharType="separate"/>
          </w:r>
          <w:r>
            <w:rPr>
              <w:color w:val="000000"/>
            </w:rPr>
            <w:tab/>
          </w:r>
          <w:r>
            <w:rPr>
              <w:color w:val="000000"/>
            </w:rPr>
            <w:tab/>
          </w:r>
          <w:r>
            <w:rPr>
              <w:color w:val="000000"/>
            </w:rPr>
            <w:t>94</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"_1ulbmlt" \h </w:instrText>
          </w:r>
          <w:r>
            <w:fldChar w:fldCharType="separate"/>
          </w:r>
          <w:r>
            <w:rPr>
              <w:color w:val="000000"/>
              <w:u w:val="single"/>
            </w:rPr>
            <w:t>30.</w:t>
          </w:r>
          <w:r>
            <w:rPr>
              <w:color w:val="000000"/>
              <w:u w:val="single"/>
            </w:rPr>
            <w:fldChar w:fldCharType="end"/>
          </w:r>
          <w:r>
            <w:fldChar w:fldCharType="begin"/>
          </w:r>
          <w:r>
            <w:instrText xml:space="preserve"> HYPERLINK \l "_1ulbmlt" \h </w:instrText>
          </w:r>
          <w:r>
            <w:fldChar w:fldCharType="separate"/>
          </w:r>
          <w:r>
            <w:rPr>
              <w:color w:val="000000"/>
            </w:rPr>
            <w:tab/>
          </w:r>
          <w:r>
            <w:rPr>
              <w:color w:val="000000"/>
            </w:rPr>
            <w:tab/>
          </w:r>
          <w:r>
            <w:rPr>
              <w:color w:val="000000"/>
            </w:rPr>
            <w:t>95</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"_4ekz59m" \h </w:instrText>
          </w:r>
          <w:r>
            <w:fldChar w:fldCharType="separate"/>
          </w:r>
          <w:r>
            <w:rPr>
              <w:color w:val="000000"/>
              <w:u w:val="single"/>
            </w:rPr>
            <w:t>31.</w:t>
          </w:r>
          <w:r>
            <w:rPr>
              <w:color w:val="000000"/>
              <w:u w:val="single"/>
            </w:rPr>
            <w:fldChar w:fldCharType="end"/>
          </w:r>
          <w:r>
            <w:fldChar w:fldCharType="begin"/>
          </w:r>
          <w:r>
            <w:instrText xml:space="preserve"> HYPERLINK \l "_4ekz59m" \h </w:instrText>
          </w:r>
          <w:r>
            <w:fldChar w:fldCharType="separate"/>
          </w:r>
          <w:r>
            <w:rPr>
              <w:color w:val="000000"/>
            </w:rPr>
            <w:tab/>
          </w:r>
          <w:r>
            <w:rPr>
              <w:color w:val="000000"/>
            </w:rPr>
            <w:tab/>
          </w:r>
          <w:r>
            <w:rPr>
              <w:color w:val="000000"/>
            </w:rPr>
            <w:t>96</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"_2tq9fhf" \h </w:instrText>
          </w:r>
          <w:r>
            <w:fldChar w:fldCharType="separate"/>
          </w:r>
          <w:r>
            <w:rPr>
              <w:color w:val="000000"/>
              <w:u w:val="single"/>
            </w:rPr>
            <w:t>2.</w:t>
          </w:r>
          <w:r>
            <w:rPr>
              <w:color w:val="000000"/>
              <w:u w:val="single"/>
            </w:rPr>
            <w:fldChar w:fldCharType="end"/>
          </w:r>
          <w:r>
            <w:fldChar w:fldCharType="begin"/>
          </w:r>
          <w:r>
            <w:instrText xml:space="preserve"> HYPERLINK \l "_2tq9fhf" \h </w:instrText>
          </w:r>
          <w:r>
            <w:fldChar w:fldCharType="separate"/>
          </w:r>
          <w:r>
            <w:rPr>
              <w:color w:val="000000"/>
            </w:rPr>
            <w:tab/>
          </w:r>
          <w:r>
            <w:rPr>
              <w:color w:val="000000"/>
            </w:rPr>
            <w:tab/>
          </w:r>
          <w:r>
            <w:rPr>
              <w:color w:val="000000"/>
            </w:rPr>
            <w:t>96</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"_18vjpp8" \h </w:instrText>
          </w:r>
          <w:r>
            <w:fldChar w:fldCharType="separate"/>
          </w:r>
          <w:r>
            <w:rPr>
              <w:color w:val="000000"/>
              <w:u w:val="single"/>
            </w:rPr>
            <w:t>3.</w:t>
          </w:r>
          <w:r>
            <w:rPr>
              <w:color w:val="000000"/>
              <w:u w:val="single"/>
            </w:rPr>
            <w:fldChar w:fldCharType="end"/>
          </w:r>
          <w:r>
            <w:fldChar w:fldCharType="begin"/>
          </w:r>
          <w:r>
            <w:instrText xml:space="preserve"> HYPERLINK \l "_18vjpp8" \h </w:instrText>
          </w:r>
          <w:r>
            <w:fldChar w:fldCharType="separate"/>
          </w:r>
          <w:r>
            <w:rPr>
              <w:color w:val="000000"/>
            </w:rPr>
            <w:tab/>
          </w:r>
          <w:r>
            <w:rPr>
              <w:color w:val="000000"/>
            </w:rPr>
            <w:tab/>
          </w:r>
          <w:r>
            <w:rPr>
              <w:color w:val="000000"/>
            </w:rPr>
            <w:t>96</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"_3sv78d1" \h </w:instrText>
          </w:r>
          <w:r>
            <w:fldChar w:fldCharType="separate"/>
          </w:r>
          <w:r>
            <w:rPr>
              <w:color w:val="000000"/>
              <w:u w:val="single"/>
            </w:rPr>
            <w:t>4.</w:t>
          </w:r>
          <w:r>
            <w:rPr>
              <w:color w:val="000000"/>
              <w:u w:val="single"/>
            </w:rPr>
            <w:fldChar w:fldCharType="end"/>
          </w:r>
          <w:r>
            <w:fldChar w:fldCharType="begin"/>
          </w:r>
          <w:r>
            <w:instrText xml:space="preserve"> HYPERLINK \l "_3sv78d1" \h </w:instrText>
          </w:r>
          <w:r>
            <w:fldChar w:fldCharType="separate"/>
          </w:r>
          <w:r>
            <w:rPr>
              <w:color w:val="000000"/>
            </w:rPr>
            <w:tab/>
          </w:r>
          <w:r>
            <w:rPr>
              <w:color w:val="000000"/>
            </w:rPr>
            <w:tab/>
          </w:r>
          <w:r>
            <w:rPr>
              <w:color w:val="000000"/>
            </w:rPr>
            <w:t>96</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"_280hiku" \h </w:instrText>
          </w:r>
          <w:r>
            <w:fldChar w:fldCharType="separate"/>
          </w:r>
          <w:r>
            <w:rPr>
              <w:color w:val="000000"/>
              <w:u w:val="single"/>
            </w:rPr>
            <w:t>5.</w:t>
          </w:r>
          <w:r>
            <w:rPr>
              <w:color w:val="000000"/>
              <w:u w:val="single"/>
            </w:rPr>
            <w:fldChar w:fldCharType="end"/>
          </w:r>
          <w:r>
            <w:fldChar w:fldCharType="begin"/>
          </w:r>
          <w:r>
            <w:instrText xml:space="preserve"> HYPERLINK \l "_280hiku" \h </w:instrText>
          </w:r>
          <w:r>
            <w:fldChar w:fldCharType="separate"/>
          </w:r>
          <w:r>
            <w:rPr>
              <w:color w:val="000000"/>
            </w:rPr>
            <w:tab/>
          </w:r>
          <w:r>
            <w:rPr>
              <w:color w:val="000000"/>
            </w:rPr>
            <w:tab/>
          </w:r>
          <w:r>
            <w:rPr>
              <w:color w:val="000000"/>
            </w:rPr>
            <w:t>96</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"_n5rssn" \h </w:instrText>
          </w:r>
          <w:r>
            <w:fldChar w:fldCharType="separate"/>
          </w:r>
          <w:r>
            <w:rPr>
              <w:color w:val="000000"/>
              <w:u w:val="single"/>
            </w:rPr>
            <w:t>6.</w:t>
          </w:r>
          <w:r>
            <w:rPr>
              <w:color w:val="000000"/>
              <w:u w:val="single"/>
            </w:rPr>
            <w:fldChar w:fldCharType="end"/>
          </w:r>
          <w:r>
            <w:fldChar w:fldCharType="begin"/>
          </w:r>
          <w:r>
            <w:instrText xml:space="preserve"> HYPERLINK \l "_n5rssn" \h </w:instrText>
          </w:r>
          <w:r>
            <w:fldChar w:fldCharType="separate"/>
          </w:r>
          <w:r>
            <w:rPr>
              <w:color w:val="000000"/>
            </w:rPr>
            <w:tab/>
          </w:r>
          <w:r>
            <w:rPr>
              <w:color w:val="000000"/>
            </w:rPr>
            <w:fldChar w:fldCharType="end"/>
          </w:r>
          <w:r>
            <w:fldChar w:fldCharType="begin"/>
          </w:r>
          <w:r>
            <w:instrText xml:space="preserve"> PAGEREF _n5rssn \h </w:instrText>
          </w:r>
          <w:r>
            <w:fldChar w:fldCharType="separate"/>
          </w:r>
          <w:r>
            <w:rPr>
              <w:color w:val="000000"/>
              <w:u w:val="single"/>
            </w:rPr>
            <w:t>Avances</w:t>
          </w:r>
          <w:r>
            <w:rPr>
              <w:color w:val="000000"/>
            </w:rPr>
            <w:tab/>
          </w:r>
          <w:r>
            <w:rPr>
              <w:color w:val="000000"/>
            </w:rPr>
            <w:t>96</w:t>
          </w:r>
          <w: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"_375fbgg" \h </w:instrText>
          </w:r>
          <w:r>
            <w:fldChar w:fldCharType="separate"/>
          </w:r>
          <w:r>
            <w:rPr>
              <w:color w:val="000000"/>
              <w:u w:val="single"/>
            </w:rPr>
            <w:t>7.</w:t>
          </w:r>
          <w:r>
            <w:rPr>
              <w:color w:val="000000"/>
              <w:u w:val="single"/>
            </w:rPr>
            <w:fldChar w:fldCharType="end"/>
          </w:r>
          <w:r>
            <w:fldChar w:fldCharType="begin"/>
          </w:r>
          <w:r>
            <w:instrText xml:space="preserve"> HYPERLINK \l "_375fbgg" \h </w:instrText>
          </w:r>
          <w:r>
            <w:fldChar w:fldCharType="separate"/>
          </w:r>
          <w:r>
            <w:rPr>
              <w:color w:val="000000"/>
            </w:rPr>
            <w:tab/>
          </w:r>
          <w:r>
            <w:rPr>
              <w:color w:val="000000"/>
            </w:rPr>
            <w:tab/>
          </w:r>
          <w:r>
            <w:rPr>
              <w:color w:val="000000"/>
            </w:rPr>
            <w:t>97</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"_1maplo9" \h </w:instrText>
          </w:r>
          <w:r>
            <w:fldChar w:fldCharType="separate"/>
          </w:r>
          <w:r>
            <w:rPr>
              <w:color w:val="000000"/>
              <w:u w:val="single"/>
            </w:rPr>
            <w:t>8.</w:t>
          </w:r>
          <w:r>
            <w:rPr>
              <w:color w:val="000000"/>
              <w:u w:val="single"/>
            </w:rPr>
            <w:fldChar w:fldCharType="end"/>
          </w:r>
          <w:r>
            <w:fldChar w:fldCharType="begin"/>
          </w:r>
          <w:r>
            <w:instrText xml:space="preserve"> HYPERLINK \l "_1maplo9" \h </w:instrText>
          </w:r>
          <w:r>
            <w:fldChar w:fldCharType="separate"/>
          </w:r>
          <w:r>
            <w:rPr>
              <w:color w:val="000000"/>
            </w:rPr>
            <w:tab/>
          </w:r>
          <w:r>
            <w:rPr>
              <w:color w:val="000000"/>
            </w:rPr>
            <w:tab/>
          </w:r>
          <w:r>
            <w:rPr>
              <w:color w:val="000000"/>
            </w:rPr>
            <w:t>98</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3</w:t>
          </w:r>
          <w:r>
            <w:fldChar w:fldCharType="begin"/>
          </w:r>
          <w:r>
            <w:instrText xml:space="preserve"> HYPERLINK \l "_46ad4c2" \h </w:instrText>
          </w:r>
          <w:r>
            <w:fldChar w:fldCharType="separate"/>
          </w:r>
          <w:r>
            <w:rPr>
              <w:color w:val="000000"/>
              <w:u w:val="single"/>
            </w:rPr>
            <w:t>9.</w:t>
          </w:r>
          <w:r>
            <w:rPr>
              <w:color w:val="000000"/>
              <w:u w:val="single"/>
            </w:rPr>
            <w:fldChar w:fldCharType="end"/>
          </w:r>
          <w:r>
            <w:fldChar w:fldCharType="begin"/>
          </w:r>
          <w:r>
            <w:instrText xml:space="preserve"> HYPERLINK \l "_46ad4c2" \h </w:instrText>
          </w:r>
          <w:r>
            <w:fldChar w:fldCharType="separate"/>
          </w:r>
          <w:r>
            <w:rPr>
              <w:color w:val="000000"/>
            </w:rPr>
            <w:tab/>
          </w:r>
          <w:r>
            <w:rPr>
              <w:color w:val="000000"/>
            </w:rPr>
            <w:fldChar w:fldCharType="end"/>
          </w:r>
          <w:r>
            <w:fldChar w:fldCharType="begin"/>
          </w:r>
          <w:r>
            <w:instrText xml:space="preserve"> PAGEREF _46ad4c2 \h </w:instrText>
          </w:r>
          <w:r>
            <w:fldChar w:fldCharType="separate"/>
          </w:r>
          <w:r>
            <w:rPr>
              <w:color w:val="000000"/>
              <w:u w:val="single"/>
            </w:rPr>
            <w:t>Pénalités</w:t>
          </w:r>
          <w:r>
            <w:rPr>
              <w:color w:val="000000"/>
            </w:rPr>
            <w:tab/>
          </w:r>
          <w:r>
            <w:rPr>
              <w:color w:val="000000"/>
            </w:rPr>
            <w:t>98</w:t>
          </w:r>
          <w: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"_2lfnejv" \h </w:instrText>
          </w:r>
          <w:r>
            <w:fldChar w:fldCharType="separate"/>
          </w:r>
          <w:r>
            <w:rPr>
              <w:color w:val="000000"/>
              <w:u w:val="single"/>
            </w:rPr>
            <w:t>40.</w:t>
          </w:r>
          <w:r>
            <w:rPr>
              <w:color w:val="000000"/>
              <w:u w:val="single"/>
            </w:rPr>
            <w:fldChar w:fldCharType="end"/>
          </w:r>
          <w:r>
            <w:fldChar w:fldCharType="begin"/>
          </w:r>
          <w:r>
            <w:instrText xml:space="preserve"> HYPERLINK \l "_2lfnejv" \h </w:instrText>
          </w:r>
          <w:r>
            <w:fldChar w:fldCharType="separate"/>
          </w:r>
          <w:r>
            <w:rPr>
              <w:color w:val="000000"/>
            </w:rPr>
            <w:tab/>
          </w:r>
          <w:r>
            <w:rPr>
              <w:color w:val="000000"/>
            </w:rPr>
            <w:tab/>
          </w:r>
          <w:r>
            <w:rPr>
              <w:color w:val="000000"/>
            </w:rPr>
            <w:t>99</w:t>
          </w:r>
          <w:r>
            <w:rPr>
              <w:color w:val="000000"/>
            </w:rPr>
            <w:fldChar w:fldCharType="end"/>
          </w:r>
        </w:p>
        <w:p>
          <w:pPr>
            <w:pStyle w:val="3"/>
            <w:tabs>
              <w:tab w:val="left" w:pos="1760"/>
              <w:tab w:val="right" w:pos="9622"/>
            </w:tabs>
            <w:spacing w:line="360" w:lineRule="auto"/>
            <w:ind w:left="480"/>
            <w:rPr>
              <w:color w:val="000000"/>
            </w:rPr>
          </w:pPr>
          <w:r>
            <w:rPr>
              <w:color w:val="000000"/>
              <w:u w:val="single"/>
            </w:rPr>
            <w:t xml:space="preserve">Article </w:t>
          </w:r>
          <w:r>
            <w:fldChar w:fldCharType="begin"/>
          </w:r>
          <w:r>
            <w:instrText xml:space="preserve"> HYPERLINK \l "_10kxoro" \h </w:instrText>
          </w:r>
          <w:r>
            <w:fldChar w:fldCharType="separate"/>
          </w:r>
          <w:r>
            <w:rPr>
              <w:color w:val="000000"/>
              <w:u w:val="single"/>
            </w:rPr>
            <w:t>41.</w:t>
          </w:r>
          <w:r>
            <w:rPr>
              <w:color w:val="000000"/>
              <w:u w:val="single"/>
            </w:rPr>
            <w:fldChar w:fldCharType="end"/>
          </w:r>
          <w:r>
            <w:fldChar w:fldCharType="begin"/>
          </w:r>
          <w:r>
            <w:instrText xml:space="preserve"> HYPERLINK \l "_10kxoro" \h </w:instrText>
          </w:r>
          <w:r>
            <w:fldChar w:fldCharType="separate"/>
          </w:r>
          <w:r>
            <w:rPr>
              <w:color w:val="000000"/>
            </w:rPr>
            <w:tab/>
          </w:r>
          <w:r>
            <w:rPr>
              <w:color w:val="000000"/>
            </w:rPr>
            <w:tab/>
          </w:r>
          <w:r>
            <w:rPr>
              <w:color w:val="000000"/>
            </w:rPr>
            <w:t>99</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"_3kkl7fh" \h </w:instrText>
          </w:r>
          <w:r>
            <w:fldChar w:fldCharType="separate"/>
          </w:r>
          <w:r>
            <w:rPr>
              <w:color w:val="000000"/>
              <w:u w:val="single"/>
            </w:rPr>
            <w:t>2.</w:t>
          </w:r>
          <w:r>
            <w:rPr>
              <w:color w:val="000000"/>
              <w:u w:val="single"/>
            </w:rPr>
            <w:fldChar w:fldCharType="end"/>
          </w:r>
          <w:r>
            <w:fldChar w:fldCharType="begin"/>
          </w:r>
          <w:r>
            <w:instrText xml:space="preserve"> HYPERLINK \l "_3kkl7fh" \h </w:instrText>
          </w:r>
          <w:r>
            <w:fldChar w:fldCharType="separate"/>
          </w:r>
          <w:r>
            <w:rPr>
              <w:color w:val="000000"/>
            </w:rPr>
            <w:tab/>
          </w:r>
          <w:r>
            <w:rPr>
              <w:color w:val="000000"/>
            </w:rPr>
            <w:tab/>
          </w:r>
          <w:r>
            <w:rPr>
              <w:color w:val="000000"/>
            </w:rPr>
            <w:t>100</w:t>
          </w:r>
          <w:r>
            <w:rPr>
              <w:color w:val="000000"/>
            </w:rPr>
            <w:fldChar w:fldCharType="end"/>
          </w:r>
        </w:p>
        <w:p>
          <w:pPr>
            <w:pStyle w:val="3"/>
            <w:tabs>
              <w:tab w:val="left" w:pos="1540"/>
              <w:tab w:val="right" w:pos="9622"/>
            </w:tabs>
            <w:spacing w:after="120" w:line="360" w:lineRule="auto"/>
            <w:ind w:left="1560" w:hanging="1320"/>
            <w:rPr>
              <w:color w:val="000000"/>
            </w:rPr>
          </w:pPr>
          <w:r>
            <w:rPr>
              <w:color w:val="000000"/>
              <w:u w:val="single"/>
            </w:rPr>
            <w:t>CHAPITRE  V.</w:t>
          </w:r>
          <w:r>
            <w:fldChar w:fldCharType="begin"/>
          </w:r>
          <w:r>
            <w:instrText xml:space="preserve"> HYPERLINK \l "_1zpvhna" \h </w:instrText>
          </w:r>
          <w:r>
            <w:fldChar w:fldCharType="separate"/>
          </w:r>
          <w:r>
            <w:rPr>
              <w:color w:val="000000"/>
            </w:rPr>
            <w:tab/>
          </w:r>
          <w:r>
            <w:rPr>
              <w:color w:val="000000"/>
            </w:rPr>
            <w:tab/>
          </w:r>
          <w:r>
            <w:rPr>
              <w:color w:val="000000"/>
            </w:rPr>
            <w:t>100</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"_4jpj0b3" \h </w:instrText>
          </w:r>
          <w:r>
            <w:fldChar w:fldCharType="separate"/>
          </w:r>
          <w:r>
            <w:rPr>
              <w:color w:val="000000"/>
              <w:u w:val="single"/>
            </w:rPr>
            <w:t>3.</w:t>
          </w:r>
          <w:r>
            <w:rPr>
              <w:color w:val="000000"/>
              <w:u w:val="single"/>
            </w:rPr>
            <w:fldChar w:fldCharType="end"/>
          </w:r>
          <w:r>
            <w:fldChar w:fldCharType="begin"/>
          </w:r>
          <w:r>
            <w:instrText xml:space="preserve"> HYPERLINK \l "_4jpj0b3" \h </w:instrText>
          </w:r>
          <w:r>
            <w:fldChar w:fldCharType="separate"/>
          </w:r>
          <w:r>
            <w:rPr>
              <w:color w:val="000000"/>
            </w:rPr>
            <w:tab/>
          </w:r>
          <w:r>
            <w:rPr>
              <w:color w:val="000000"/>
            </w:rPr>
            <w:tab/>
          </w:r>
          <w:r>
            <w:rPr>
              <w:color w:val="000000"/>
            </w:rPr>
            <w:t>100</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"_2yutaiw" \h </w:instrText>
          </w:r>
          <w:r>
            <w:fldChar w:fldCharType="separate"/>
          </w:r>
          <w:r>
            <w:rPr>
              <w:color w:val="000000"/>
              <w:u w:val="single"/>
            </w:rPr>
            <w:t>4.</w:t>
          </w:r>
          <w:r>
            <w:rPr>
              <w:color w:val="000000"/>
              <w:u w:val="single"/>
            </w:rPr>
            <w:fldChar w:fldCharType="end"/>
          </w:r>
          <w:r>
            <w:fldChar w:fldCharType="begin"/>
          </w:r>
          <w:r>
            <w:instrText xml:space="preserve"> HYPERLINK \l "_2yutaiw" \h </w:instrText>
          </w:r>
          <w:r>
            <w:fldChar w:fldCharType="separate"/>
          </w:r>
          <w:r>
            <w:rPr>
              <w:color w:val="000000"/>
            </w:rPr>
            <w:tab/>
          </w:r>
          <w:r>
            <w:rPr>
              <w:color w:val="000000"/>
            </w:rPr>
            <w:tab/>
          </w:r>
          <w:r>
            <w:rPr>
              <w:color w:val="000000"/>
            </w:rPr>
            <w:t>100</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"_1e03kqp" \h </w:instrText>
          </w:r>
          <w:r>
            <w:fldChar w:fldCharType="separate"/>
          </w:r>
          <w:r>
            <w:rPr>
              <w:color w:val="000000"/>
              <w:u w:val="single"/>
            </w:rPr>
            <w:t>5.</w:t>
          </w:r>
          <w:r>
            <w:rPr>
              <w:color w:val="000000"/>
              <w:u w:val="single"/>
            </w:rPr>
            <w:fldChar w:fldCharType="end"/>
          </w:r>
          <w:r>
            <w:fldChar w:fldCharType="begin"/>
          </w:r>
          <w:r>
            <w:instrText xml:space="preserve"> HYPERLINK \l "_1e03kqp" \h </w:instrText>
          </w:r>
          <w:r>
            <w:fldChar w:fldCharType="separate"/>
          </w:r>
          <w:r>
            <w:rPr>
              <w:color w:val="000000"/>
            </w:rPr>
            <w:tab/>
          </w:r>
          <w:r>
            <w:rPr>
              <w:color w:val="000000"/>
            </w:rPr>
            <w:tab/>
          </w:r>
          <w:r>
            <w:rPr>
              <w:color w:val="000000"/>
            </w:rPr>
            <w:t>101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"_3xzr3ei" \h </w:instrText>
          </w:r>
          <w:r>
            <w:fldChar w:fldCharType="separate"/>
          </w:r>
          <w:r>
            <w:rPr>
              <w:color w:val="000000"/>
              <w:u w:val="single"/>
            </w:rPr>
            <w:t>6.</w:t>
          </w:r>
          <w:r>
            <w:rPr>
              <w:color w:val="000000"/>
              <w:u w:val="single"/>
            </w:rPr>
            <w:fldChar w:fldCharType="end"/>
          </w:r>
          <w:r>
            <w:fldChar w:fldCharType="begin"/>
          </w:r>
          <w:r>
            <w:instrText xml:space="preserve"> HYPERLINK \l "_3xzr3ei" \h </w:instrText>
          </w:r>
          <w:r>
            <w:fldChar w:fldCharType="separate"/>
          </w:r>
          <w:r>
            <w:rPr>
              <w:color w:val="000000"/>
            </w:rPr>
            <w:tab/>
          </w:r>
          <w:r>
            <w:rPr>
              <w:color w:val="000000"/>
            </w:rPr>
            <w:tab/>
          </w:r>
          <w:r>
            <w:rPr>
              <w:color w:val="000000"/>
            </w:rPr>
            <w:t>101</w:t>
          </w:r>
          <w:r>
            <w:rPr>
              <w:color w:val="000000"/>
            </w:rPr>
            <w:fldChar w:fldCharType="end"/>
          </w:r>
        </w:p>
        <w:p>
          <w:pPr>
            <w:pStyle w:val="3"/>
            <w:tabs>
              <w:tab w:val="left" w:pos="1760"/>
              <w:tab w:val="right" w:pos="9622"/>
            </w:tabs>
            <w:spacing w:line="360" w:lineRule="auto"/>
            <w:ind w:left="480"/>
            <w:rPr>
              <w:color w:val="000000"/>
            </w:rPr>
          </w:pPr>
          <w:r>
            <w:rPr>
              <w:color w:val="000000"/>
              <w:u w:val="single"/>
            </w:rPr>
            <w:t>Article 4</w:t>
          </w:r>
          <w:r>
            <w:fldChar w:fldCharType="begin"/>
          </w:r>
          <w:r>
            <w:instrText xml:space="preserve"> HYPERLINK \l "_2d51dmb" \h </w:instrText>
          </w:r>
          <w:r>
            <w:fldChar w:fldCharType="separate"/>
          </w:r>
          <w:r>
            <w:rPr>
              <w:color w:val="000000"/>
              <w:u w:val="single"/>
            </w:rPr>
            <w:t>7.</w:t>
          </w:r>
          <w:r>
            <w:rPr>
              <w:color w:val="000000"/>
              <w:u w:val="single"/>
            </w:rPr>
            <w:fldChar w:fldCharType="end"/>
          </w:r>
          <w:r>
            <w:fldChar w:fldCharType="begin"/>
          </w:r>
          <w:r>
            <w:instrText xml:space="preserve"> HYPERLINK \l "_2d51dmb" \h </w:instrText>
          </w:r>
          <w:r>
            <w:fldChar w:fldCharType="separate"/>
          </w:r>
          <w:r>
            <w:rPr>
              <w:color w:val="000000"/>
            </w:rPr>
            <w:tab/>
          </w:r>
          <w:r>
            <w:rPr>
              <w:color w:val="000000"/>
            </w:rPr>
            <w:tab/>
          </w:r>
          <w:r>
            <w:rPr>
              <w:color w:val="000000"/>
            </w:rPr>
            <w:t>101</w:t>
          </w:r>
          <w:r>
            <w:rPr>
              <w:color w:val="000000"/>
            </w:rPr>
            <w:fldChar w:fldCharType="end"/>
          </w:r>
        </w:p>
        <w:p>
          <w:pPr>
            <w:pStyle w:val="3"/>
            <w:widowControl w:val="0"/>
            <w:spacing w:line="360" w:lineRule="auto"/>
            <w:jc w:val="both"/>
            <w:rPr>
              <w:sz w:val="20"/>
              <w:szCs w:val="20"/>
            </w:rPr>
          </w:pPr>
          <w:r>
            <w:fldChar w:fldCharType="end"/>
          </w:r>
        </w:p>
      </w:sdtContent>
    </w:sdt>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spacing w:line="360" w:lineRule="auto"/>
        <w:rPr>
          <w:b/>
          <w:sz w:val="32"/>
          <w:szCs w:val="32"/>
        </w:rPr>
      </w:pPr>
      <w:bookmarkStart w:id="93" w:name="_sabnu4" w:colFirst="0" w:colLast="0"/>
      <w:bookmarkEnd w:id="93"/>
      <w:r>
        <w:rPr>
          <w:i/>
          <w:sz w:val="32"/>
          <w:szCs w:val="32"/>
        </w:rPr>
        <w:br w:type="textWrapping"/>
      </w: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spacing w:line="360" w:lineRule="auto"/>
        <w:rPr>
          <w:b/>
          <w:sz w:val="32"/>
          <w:szCs w:val="32"/>
        </w:rPr>
      </w:pPr>
    </w:p>
    <w:p>
      <w:pPr>
        <w:pStyle w:val="3"/>
        <w:keepNext/>
        <w:numPr>
          <w:ilvl w:val="0"/>
          <w:numId w:val="40"/>
        </w:numPr>
        <w:ind w:left="714" w:hanging="357"/>
        <w:jc w:val="center"/>
      </w:pPr>
      <w:bookmarkStart w:id="94" w:name="_3c9z6hx" w:colFirst="0" w:colLast="0"/>
      <w:bookmarkEnd w:id="94"/>
    </w:p>
    <w:p>
      <w:pPr>
        <w:pStyle w:val="3"/>
        <w:keepNext/>
        <w:numPr>
          <w:ilvl w:val="0"/>
          <w:numId w:val="40"/>
        </w:numPr>
        <w:ind w:left="714" w:hanging="357"/>
        <w:jc w:val="center"/>
      </w:pPr>
      <w:r>
        <w:rPr>
          <w:smallCaps/>
          <w:color w:val="000000"/>
          <w:sz w:val="32"/>
          <w:szCs w:val="32"/>
        </w:rPr>
        <w:t>GÉNÉRALITÉS</w:t>
      </w:r>
    </w:p>
    <w:p>
      <w:pPr>
        <w:pStyle w:val="3"/>
        <w:keepNext/>
        <w:jc w:val="both"/>
        <w:rPr>
          <w:color w:val="000000"/>
        </w:rPr>
      </w:pPr>
      <w:bookmarkStart w:id="95" w:name="_1rf9gpq" w:colFirst="0" w:colLast="0"/>
      <w:bookmarkEnd w:id="95"/>
      <w:r>
        <w:rPr>
          <w:color w:val="000000"/>
        </w:rPr>
        <w:t>Article 1 : Objet du marché</w:t>
      </w:r>
    </w:p>
    <w:p>
      <w:pPr>
        <w:pStyle w:val="3"/>
        <w:widowControl w:val="0"/>
        <w:jc w:val="both"/>
        <w:rPr>
          <w:rFonts w:ascii="Twentieth Century" w:hAnsi="Twentieth Century" w:eastAsia="Twentieth Century" w:cs="Twentieth Century"/>
          <w:sz w:val="20"/>
          <w:szCs w:val="20"/>
        </w:rPr>
      </w:pPr>
      <w:bookmarkStart w:id="96" w:name="_4bewzdj" w:colFirst="0" w:colLast="0"/>
      <w:bookmarkEnd w:id="96"/>
      <w:r>
        <w:t>Le présent marché a pour objet les travaux d’achèvement du</w:t>
      </w:r>
      <w:r>
        <w:rPr>
          <w:b/>
        </w:rPr>
        <w:t xml:space="preserve"> CSI D’EMINEMVOM 1 DANS LA COMMUNE DE BIWONG BULU, DEPARTEMENT DE LA MVILA, REGION DU SUD</w:t>
      </w:r>
      <w:r>
        <w:t xml:space="preserve"> Article 2 : </w:t>
      </w:r>
      <w:r>
        <w:rPr>
          <w:rFonts w:ascii="Twentieth Century" w:hAnsi="Twentieth Century" w:eastAsia="Twentieth Century" w:cs="Twentieth Century"/>
        </w:rPr>
        <w:t xml:space="preserve">Le présent marché est passé après Appel d’Offres National Ouvert en procédure </w:t>
      </w:r>
      <w:r>
        <w:rPr>
          <w:rFonts w:ascii="Twentieth Century" w:hAnsi="Twentieth Century" w:eastAsia="Twentieth Century" w:cs="Twentieth Century"/>
          <w:b/>
        </w:rPr>
        <w:t xml:space="preserve">N°010(bis)/AONO/C.BBU/SG/SIGAMP/CIPM /2025 DU </w:t>
      </w:r>
    </w:p>
    <w:p>
      <w:pPr>
        <w:pStyle w:val="3"/>
        <w:widowControl w:val="0"/>
        <w:jc w:val="both"/>
        <w:rPr>
          <w:i/>
          <w:sz w:val="10"/>
          <w:szCs w:val="10"/>
        </w:rPr>
      </w:pPr>
    </w:p>
    <w:p>
      <w:pPr>
        <w:pStyle w:val="3"/>
        <w:keepNext/>
        <w:jc w:val="both"/>
        <w:rPr>
          <w:color w:val="000000"/>
        </w:rPr>
      </w:pPr>
      <w:bookmarkStart w:id="97" w:name="_l7a3n9" w:colFirst="0" w:colLast="0"/>
      <w:bookmarkEnd w:id="97"/>
      <w:r>
        <w:rPr>
          <w:color w:val="000000"/>
        </w:rPr>
        <w:t xml:space="preserve">Article 3 : Attributions et nantissement </w:t>
      </w:r>
    </w:p>
    <w:p>
      <w:pPr>
        <w:pStyle w:val="3"/>
        <w:widowControl w:val="0"/>
        <w:jc w:val="both"/>
        <w:rPr>
          <w:b/>
          <w:i/>
          <w:smallCaps/>
        </w:rPr>
      </w:pPr>
      <w:r>
        <w:t xml:space="preserve">Pour l’application des dispositions du présent marché, il est précisé que :  </w:t>
      </w:r>
    </w:p>
    <w:p>
      <w:pPr>
        <w:pStyle w:val="3"/>
        <w:widowControl w:val="0"/>
        <w:jc w:val="both"/>
        <w:rPr>
          <w:b/>
          <w:i/>
          <w:sz w:val="20"/>
          <w:szCs w:val="20"/>
        </w:rPr>
      </w:pPr>
      <w:r>
        <w:rPr>
          <w:b/>
          <w:i/>
        </w:rPr>
        <w:t xml:space="preserve">3.1.  Attributions (Cf. Code </w:t>
      </w:r>
      <w:r>
        <w:rPr>
          <w:b/>
        </w:rPr>
        <w:t>des Marchés Publics</w:t>
      </w:r>
      <w:r>
        <w:rPr>
          <w:b/>
          <w:i/>
        </w:rPr>
        <w:t>)</w:t>
      </w:r>
    </w:p>
    <w:p>
      <w:pPr>
        <w:pStyle w:val="3"/>
        <w:widowControl w:val="0"/>
        <w:jc w:val="both"/>
        <w:rPr>
          <w:sz w:val="20"/>
          <w:szCs w:val="20"/>
        </w:rPr>
      </w:pPr>
      <w:r>
        <w:t>Pour l’application des dispositions du présent marché, il est précisé que :</w:t>
      </w:r>
    </w:p>
    <w:p>
      <w:pPr>
        <w:pStyle w:val="3"/>
        <w:widowControl w:val="0"/>
        <w:jc w:val="both"/>
        <w:rPr>
          <w:sz w:val="10"/>
          <w:szCs w:val="10"/>
        </w:rPr>
      </w:pPr>
    </w:p>
    <w:p>
      <w:pPr>
        <w:pStyle w:val="3"/>
        <w:widowControl w:val="0"/>
        <w:numPr>
          <w:ilvl w:val="0"/>
          <w:numId w:val="21"/>
        </w:numPr>
        <w:ind w:left="567" w:hanging="283"/>
        <w:jc w:val="both"/>
        <w:rPr>
          <w:i/>
          <w:smallCaps/>
        </w:rPr>
      </w:pPr>
      <w:bookmarkStart w:id="98" w:name="_2qk79lc" w:colFirst="0" w:colLast="0"/>
      <w:bookmarkEnd w:id="98"/>
      <w:r>
        <w:rPr>
          <w:b/>
        </w:rPr>
        <w:t xml:space="preserve">Le Maître d’Ouvrage </w:t>
      </w:r>
      <w:r>
        <w:t xml:space="preserve"> est </w:t>
      </w:r>
      <w:r>
        <w:rPr>
          <w:i/>
        </w:rPr>
        <w:t>le Maire de la Commune de BIWONG-BULU :</w:t>
      </w:r>
      <w: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pPr>
        <w:pStyle w:val="3"/>
        <w:widowControl w:val="0"/>
        <w:ind w:left="567"/>
        <w:jc w:val="both"/>
        <w:rPr>
          <w:sz w:val="10"/>
          <w:szCs w:val="10"/>
        </w:rPr>
      </w:pPr>
    </w:p>
    <w:p>
      <w:pPr>
        <w:pStyle w:val="3"/>
        <w:widowControl w:val="0"/>
        <w:numPr>
          <w:ilvl w:val="0"/>
          <w:numId w:val="21"/>
        </w:numPr>
        <w:ind w:left="567" w:hanging="283"/>
        <w:jc w:val="both"/>
        <w:rPr>
          <w:i/>
          <w:smallCaps/>
        </w:rPr>
      </w:pPr>
      <w:bookmarkStart w:id="99" w:name="_15phjt5" w:colFirst="0" w:colLast="0"/>
      <w:bookmarkEnd w:id="99"/>
      <w:r>
        <w:rPr>
          <w:b/>
        </w:rPr>
        <w:t>Le Chef de Service du Marché</w:t>
      </w:r>
      <w:r>
        <w:t xml:space="preserve"> est </w:t>
      </w:r>
      <w:r>
        <w:rPr>
          <w:i/>
        </w:rPr>
        <w:t xml:space="preserve">le secrétaire général de la COMMUNE DE BIWONG-BULU faisant office de chef service technique </w:t>
      </w:r>
      <w: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w:t>
      </w:r>
    </w:p>
    <w:p>
      <w:pPr>
        <w:pStyle w:val="3"/>
        <w:widowControl w:val="0"/>
        <w:jc w:val="both"/>
        <w:rPr>
          <w:sz w:val="10"/>
          <w:szCs w:val="10"/>
        </w:rPr>
      </w:pPr>
      <w:r>
        <w:t xml:space="preserve"> </w:t>
      </w:r>
    </w:p>
    <w:p>
      <w:pPr>
        <w:pStyle w:val="3"/>
        <w:widowControl w:val="0"/>
        <w:numPr>
          <w:ilvl w:val="0"/>
          <w:numId w:val="21"/>
        </w:numPr>
        <w:ind w:left="567" w:hanging="283"/>
        <w:jc w:val="both"/>
        <w:rPr>
          <w:i/>
          <w:smallCaps/>
        </w:rPr>
      </w:pPr>
      <w:r>
        <w:rPr>
          <w:b/>
        </w:rPr>
        <w:t>L’Ingénieur du marché</w:t>
      </w:r>
      <w:r>
        <w:t xml:space="preserve"> est </w:t>
      </w:r>
      <w:r>
        <w:rPr>
          <w:i/>
        </w:rPr>
        <w:t>le Délégué Départemental du MINTP/MVILA</w:t>
      </w:r>
      <w:r>
        <w:t xml:space="preserve"> : il est accrédité par le Maître d’Ouvrage ou le Maître d’Ouvrage Délégué, pour le suivi de l’exécution du marché sous la supervision du Chef de Service du marché à qui il rend compte ; </w:t>
      </w:r>
    </w:p>
    <w:p>
      <w:pPr>
        <w:pStyle w:val="3"/>
        <w:widowControl w:val="0"/>
        <w:jc w:val="both"/>
        <w:rPr>
          <w:sz w:val="10"/>
          <w:szCs w:val="10"/>
        </w:rPr>
      </w:pPr>
    </w:p>
    <w:p>
      <w:pPr>
        <w:pStyle w:val="3"/>
        <w:widowControl w:val="0"/>
        <w:numPr>
          <w:ilvl w:val="0"/>
          <w:numId w:val="21"/>
        </w:numPr>
        <w:ind w:left="567" w:hanging="283"/>
        <w:jc w:val="both"/>
        <w:rPr>
          <w:i/>
          <w:smallCaps/>
        </w:rPr>
      </w:pPr>
      <w:r>
        <w:rPr>
          <w:b/>
        </w:rPr>
        <w:t>L’organisme chargé du contrôle externe des marchés publics</w:t>
      </w:r>
      <w: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pPr>
        <w:pStyle w:val="3"/>
        <w:widowControl w:val="0"/>
        <w:jc w:val="both"/>
        <w:rPr>
          <w:sz w:val="10"/>
          <w:szCs w:val="10"/>
        </w:rPr>
      </w:pPr>
    </w:p>
    <w:p>
      <w:pPr>
        <w:pStyle w:val="3"/>
        <w:widowControl w:val="0"/>
        <w:numPr>
          <w:ilvl w:val="0"/>
          <w:numId w:val="21"/>
        </w:numPr>
        <w:ind w:left="567" w:hanging="283"/>
        <w:jc w:val="both"/>
        <w:rPr>
          <w:i/>
          <w:smallCaps/>
        </w:rPr>
      </w:pPr>
      <w:r>
        <w:rPr>
          <w:b/>
        </w:rPr>
        <w:t>Le cocontractant</w:t>
      </w:r>
      <w:r>
        <w:t xml:space="preserve"> </w:t>
      </w:r>
      <w:r>
        <w:rPr>
          <w:b/>
        </w:rPr>
        <w:t xml:space="preserve">de l'Administration ou le titulaire du marché </w:t>
      </w:r>
      <w:r>
        <w:t xml:space="preserve">est il est chargé de l'exécution des prestations prévues dans le marché ; </w:t>
      </w:r>
    </w:p>
    <w:p>
      <w:pPr>
        <w:pStyle w:val="3"/>
        <w:widowControl w:val="0"/>
        <w:ind w:left="284"/>
        <w:jc w:val="both"/>
        <w:rPr>
          <w:color w:val="FF0000"/>
          <w:sz w:val="10"/>
          <w:szCs w:val="10"/>
        </w:rPr>
      </w:pPr>
    </w:p>
    <w:p>
      <w:pPr>
        <w:pStyle w:val="3"/>
        <w:widowControl w:val="0"/>
        <w:jc w:val="both"/>
        <w:rPr>
          <w:b/>
          <w:i/>
          <w:sz w:val="20"/>
          <w:szCs w:val="20"/>
        </w:rPr>
      </w:pPr>
      <w:r>
        <w:rPr>
          <w:b/>
          <w:i/>
        </w:rPr>
        <w:t>3.2. Nantissement</w:t>
      </w:r>
    </w:p>
    <w:p>
      <w:pPr>
        <w:pStyle w:val="3"/>
        <w:widowControl w:val="0"/>
        <w:jc w:val="both"/>
        <w:rPr>
          <w:b/>
          <w:i/>
          <w:smallCaps/>
        </w:rPr>
      </w:pPr>
      <w:r>
        <w:t>Aux fins d’application du régime de nantissement prévu à l’article 150 du décret n°2018/366 du 20 juin 2018 portant Code des Marchés Publics, les attributions sont définies comme suit :</w:t>
      </w:r>
    </w:p>
    <w:p>
      <w:pPr>
        <w:pStyle w:val="3"/>
        <w:widowControl w:val="0"/>
        <w:numPr>
          <w:ilvl w:val="0"/>
          <w:numId w:val="41"/>
        </w:numPr>
        <w:jc w:val="both"/>
        <w:rPr>
          <w:color w:val="000000"/>
        </w:rPr>
      </w:pPr>
      <w:r>
        <w:rPr>
          <w:rFonts w:ascii="Twentieth Century" w:hAnsi="Twentieth Century" w:eastAsia="Twentieth Century" w:cs="Twentieth Century"/>
          <w:b/>
          <w:color w:val="000000"/>
        </w:rPr>
        <w:t>L’autorité chargée de l’ordonnancement des paiements</w:t>
      </w:r>
      <w:r>
        <w:rPr>
          <w:rFonts w:ascii="Twentieth Century" w:hAnsi="Twentieth Century" w:eastAsia="Twentieth Century" w:cs="Twentieth Century"/>
          <w:color w:val="000000"/>
        </w:rPr>
        <w:t xml:space="preserve"> est : Le Maire de la Commune de BIWONG BULU ;</w:t>
      </w:r>
    </w:p>
    <w:p>
      <w:pPr>
        <w:pStyle w:val="3"/>
        <w:widowControl w:val="0"/>
        <w:numPr>
          <w:ilvl w:val="0"/>
          <w:numId w:val="41"/>
        </w:numPr>
        <w:jc w:val="both"/>
        <w:rPr>
          <w:color w:val="000000"/>
        </w:rPr>
      </w:pPr>
      <w:r>
        <w:rPr>
          <w:rFonts w:ascii="Twentieth Century" w:hAnsi="Twentieth Century" w:eastAsia="Twentieth Century" w:cs="Twentieth Century"/>
          <w:b/>
          <w:color w:val="000000"/>
        </w:rPr>
        <w:t>L’autorité chargée de la liquidation des dépenses</w:t>
      </w:r>
      <w:r>
        <w:rPr>
          <w:rFonts w:ascii="Twentieth Century" w:hAnsi="Twentieth Century" w:eastAsia="Twentieth Century" w:cs="Twentieth Century"/>
          <w:color w:val="000000"/>
        </w:rPr>
        <w:t xml:space="preserve"> est : </w:t>
      </w:r>
      <w:r>
        <w:rPr>
          <w:rFonts w:ascii="Twentieth Century" w:hAnsi="Twentieth Century" w:eastAsia="Twentieth Century" w:cs="Twentieth Century"/>
          <w:color w:val="000000"/>
          <w:sz w:val="22"/>
          <w:szCs w:val="22"/>
        </w:rPr>
        <w:t>Le Maire de la Commune de BIWONG BULU</w:t>
      </w:r>
      <w:r>
        <w:rPr>
          <w:rFonts w:ascii="Twentieth Century" w:hAnsi="Twentieth Century" w:eastAsia="Twentieth Century" w:cs="Twentieth Century"/>
          <w:color w:val="000000"/>
        </w:rPr>
        <w:t xml:space="preserve"> ;</w:t>
      </w:r>
    </w:p>
    <w:p>
      <w:pPr>
        <w:pStyle w:val="3"/>
        <w:widowControl w:val="0"/>
        <w:numPr>
          <w:ilvl w:val="0"/>
          <w:numId w:val="41"/>
        </w:numPr>
        <w:jc w:val="both"/>
        <w:rPr>
          <w:color w:val="000000"/>
        </w:rPr>
      </w:pPr>
      <w:r>
        <w:rPr>
          <w:rFonts w:ascii="Twentieth Century" w:hAnsi="Twentieth Century" w:eastAsia="Twentieth Century" w:cs="Twentieth Century"/>
          <w:b/>
          <w:color w:val="000000"/>
        </w:rPr>
        <w:t xml:space="preserve">L’autorité chargée de la validation de la dépense est le </w:t>
      </w:r>
      <w:r>
        <w:rPr>
          <w:rFonts w:ascii="Twentieth Century" w:hAnsi="Twentieth Century" w:eastAsia="Twentieth Century" w:cs="Twentieth Century"/>
          <w:color w:val="000000"/>
          <w:sz w:val="22"/>
          <w:szCs w:val="22"/>
        </w:rPr>
        <w:t>Contrôleur Financier Départemental de la Mvila ;</w:t>
      </w:r>
    </w:p>
    <w:p>
      <w:pPr>
        <w:pStyle w:val="3"/>
        <w:widowControl w:val="0"/>
        <w:numPr>
          <w:ilvl w:val="0"/>
          <w:numId w:val="41"/>
        </w:numPr>
        <w:jc w:val="both"/>
        <w:rPr>
          <w:color w:val="000000"/>
        </w:rPr>
      </w:pPr>
      <w:r>
        <w:rPr>
          <w:rFonts w:ascii="Twentieth Century" w:hAnsi="Twentieth Century" w:eastAsia="Twentieth Century" w:cs="Twentieth Century"/>
          <w:b/>
          <w:color w:val="000000"/>
        </w:rPr>
        <w:t>Le responsable chargé du paiement</w:t>
      </w:r>
      <w:r>
        <w:rPr>
          <w:rFonts w:ascii="Twentieth Century" w:hAnsi="Twentieth Century" w:eastAsia="Twentieth Century" w:cs="Twentieth Century"/>
          <w:color w:val="000000"/>
        </w:rPr>
        <w:t xml:space="preserve"> est le</w:t>
      </w:r>
      <w:r>
        <w:rPr>
          <w:rFonts w:ascii="Twentieth Century" w:hAnsi="Twentieth Century" w:eastAsia="Twentieth Century" w:cs="Twentieth Century"/>
          <w:color w:val="000000"/>
          <w:sz w:val="22"/>
          <w:szCs w:val="22"/>
        </w:rPr>
        <w:t xml:space="preserve"> Receveur municipal de la Commune de BIWONG BULU ;</w:t>
      </w:r>
    </w:p>
    <w:p>
      <w:pPr>
        <w:pStyle w:val="3"/>
        <w:widowControl w:val="0"/>
        <w:numPr>
          <w:ilvl w:val="0"/>
          <w:numId w:val="41"/>
        </w:numPr>
        <w:jc w:val="both"/>
        <w:rPr>
          <w:color w:val="000000"/>
        </w:rPr>
      </w:pPr>
      <w:r>
        <w:rPr>
          <w:rFonts w:ascii="Twentieth Century" w:hAnsi="Twentieth Century" w:eastAsia="Twentieth Century" w:cs="Twentieth Century"/>
          <w:b/>
          <w:color w:val="000000"/>
        </w:rPr>
        <w:t xml:space="preserve">Le responsable compétent pour fournir les informations relatives au projet </w:t>
      </w:r>
      <w:r>
        <w:rPr>
          <w:rFonts w:ascii="Twentieth Century" w:hAnsi="Twentieth Century" w:eastAsia="Twentieth Century" w:cs="Twentieth Century"/>
          <w:color w:val="000000"/>
        </w:rPr>
        <w:t>est le Maire de la Commune DE BIWONG BULU.</w:t>
      </w:r>
    </w:p>
    <w:p>
      <w:pPr>
        <w:pStyle w:val="3"/>
        <w:widowControl w:val="0"/>
        <w:jc w:val="both"/>
        <w:rPr>
          <w:b/>
          <w:i/>
          <w:smallCaps/>
        </w:rPr>
      </w:pPr>
    </w:p>
    <w:p>
      <w:pPr>
        <w:pStyle w:val="3"/>
        <w:keepNext/>
        <w:jc w:val="both"/>
        <w:rPr>
          <w:color w:val="000000"/>
        </w:rPr>
      </w:pPr>
      <w:bookmarkStart w:id="100" w:name="_3pp52gy" w:colFirst="0" w:colLast="0"/>
      <w:bookmarkEnd w:id="100"/>
      <w:r>
        <w:rPr>
          <w:color w:val="000000"/>
        </w:rPr>
        <w:t>Article 4 : Langue, lois et règlements applicables</w:t>
      </w:r>
    </w:p>
    <w:p>
      <w:pPr>
        <w:pStyle w:val="3"/>
        <w:widowControl w:val="0"/>
        <w:jc w:val="both"/>
        <w:rPr>
          <w:b/>
          <w:i/>
          <w:smallCaps/>
        </w:rPr>
      </w:pPr>
      <w:r>
        <w:t xml:space="preserve">4.1. La langue utilisée est le </w:t>
      </w:r>
      <w:r>
        <w:rPr>
          <w:i/>
        </w:rPr>
        <w:t>Français ou l’Anglais.</w:t>
      </w:r>
    </w:p>
    <w:p>
      <w:pPr>
        <w:pStyle w:val="3"/>
        <w:widowControl w:val="0"/>
        <w:tabs>
          <w:tab w:val="left" w:pos="1900"/>
          <w:tab w:val="left" w:pos="3420"/>
          <w:tab w:val="left" w:pos="3880"/>
          <w:tab w:val="left" w:pos="4820"/>
        </w:tabs>
        <w:jc w:val="both"/>
        <w:rPr>
          <w:b/>
          <w:i/>
          <w:smallCaps/>
        </w:rPr>
      </w:pPr>
      <w:r>
        <w:t>4.2. Le cocontractant ou titulaire du marché s’engage à observer les lois, et règlements en vigueur en République du Cameroun et ce, aussi bien dans sa propre organisation que dans la réalisation du marché.</w:t>
      </w:r>
    </w:p>
    <w:p>
      <w:pPr>
        <w:pStyle w:val="3"/>
        <w:widowControl w:val="0"/>
        <w:jc w:val="both"/>
        <w:rPr>
          <w:b/>
          <w:i/>
          <w:smallCaps/>
        </w:rPr>
      </w:pPr>
      <w:r>
        <w:t>Si les lois et règlements en vigueur à la date de signature du présent marché venaient à être modifiés après la signature du marché, les coûts éventuels qui en découleraient directement seraient pris en compte sans gain ni perte pour chaque partie.</w:t>
      </w:r>
    </w:p>
    <w:p>
      <w:pPr>
        <w:pStyle w:val="3"/>
        <w:widowControl w:val="0"/>
        <w:jc w:val="both"/>
        <w:rPr>
          <w:sz w:val="10"/>
          <w:szCs w:val="10"/>
        </w:rPr>
      </w:pPr>
    </w:p>
    <w:p>
      <w:pPr>
        <w:pStyle w:val="3"/>
        <w:widowControl w:val="0"/>
        <w:jc w:val="both"/>
        <w:rPr>
          <w:b/>
          <w:sz w:val="20"/>
          <w:szCs w:val="20"/>
        </w:rPr>
      </w:pPr>
      <w:bookmarkStart w:id="101" w:name="_24ufcor" w:colFirst="0" w:colLast="0"/>
      <w:bookmarkEnd w:id="101"/>
      <w:r>
        <w:rPr>
          <w:b/>
        </w:rPr>
        <w:t xml:space="preserve">Article 5 : Normes </w:t>
      </w:r>
    </w:p>
    <w:p>
      <w:pPr>
        <w:pStyle w:val="3"/>
        <w:widowControl w:val="0"/>
        <w:tabs>
          <w:tab w:val="left" w:pos="426"/>
        </w:tabs>
        <w:jc w:val="both"/>
        <w:rPr>
          <w:b/>
          <w:i/>
          <w:smallCaps/>
        </w:rPr>
      </w:pPr>
      <w:r>
        <w:t>5.1</w:t>
      </w:r>
      <w:r>
        <w:tab/>
      </w:r>
      <w:r>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pPr>
        <w:pStyle w:val="3"/>
        <w:widowControl w:val="0"/>
        <w:jc w:val="both"/>
        <w:rPr>
          <w:b/>
          <w:i/>
          <w:smallCaps/>
        </w:rPr>
      </w:pPr>
      <w:r>
        <w:t>5.2. Le cocontractant étudiera, exécutera et garantira les travaux du présent marché en prenant en considération la meilleure pratique de réalisation au Cameroun pour des opérations de technologie similaire.</w:t>
      </w:r>
    </w:p>
    <w:p>
      <w:pPr>
        <w:pStyle w:val="3"/>
        <w:widowControl w:val="0"/>
        <w:jc w:val="both"/>
        <w:rPr>
          <w:sz w:val="10"/>
          <w:szCs w:val="10"/>
        </w:rPr>
      </w:pPr>
    </w:p>
    <w:p>
      <w:pPr>
        <w:pStyle w:val="3"/>
        <w:jc w:val="both"/>
        <w:rPr>
          <w:b/>
          <w:sz w:val="28"/>
          <w:szCs w:val="28"/>
        </w:rPr>
      </w:pPr>
      <w:r>
        <w:rPr>
          <w:b/>
          <w:sz w:val="28"/>
          <w:szCs w:val="28"/>
        </w:rPr>
        <w:t xml:space="preserve">Article 6- Pièces constitutives du marché </w:t>
      </w:r>
    </w:p>
    <w:p>
      <w:pPr>
        <w:pStyle w:val="3"/>
        <w:widowControl w:val="0"/>
        <w:jc w:val="both"/>
        <w:rPr>
          <w:b/>
          <w:i/>
          <w:smallCaps/>
        </w:rPr>
      </w:pPr>
      <w:r>
        <w:t xml:space="preserve">Les pièces contractuelles constitutives du présent marché sont complémentaires. Elles sont par ordre de priorité : </w:t>
      </w:r>
    </w:p>
    <w:p>
      <w:pPr>
        <w:pStyle w:val="3"/>
        <w:widowControl w:val="0"/>
        <w:numPr>
          <w:ilvl w:val="0"/>
          <w:numId w:val="42"/>
        </w:numPr>
        <w:jc w:val="both"/>
        <w:rPr>
          <w:sz w:val="20"/>
          <w:szCs w:val="20"/>
        </w:rPr>
      </w:pPr>
      <w:r>
        <w:t>la soumission ou l'acte d'engagement ;</w:t>
      </w:r>
    </w:p>
    <w:p>
      <w:pPr>
        <w:pStyle w:val="3"/>
        <w:widowControl w:val="0"/>
        <w:numPr>
          <w:ilvl w:val="0"/>
          <w:numId w:val="42"/>
        </w:numPr>
        <w:jc w:val="both"/>
        <w:rPr>
          <w:sz w:val="20"/>
          <w:szCs w:val="20"/>
        </w:rPr>
      </w:pPr>
      <w: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pPr>
        <w:pStyle w:val="3"/>
        <w:widowControl w:val="0"/>
        <w:numPr>
          <w:ilvl w:val="0"/>
          <w:numId w:val="42"/>
        </w:numPr>
        <w:jc w:val="both"/>
        <w:rPr>
          <w:sz w:val="20"/>
          <w:szCs w:val="20"/>
        </w:rPr>
      </w:pPr>
      <w:r>
        <w:t>le Cahier des Clauses Administratives Particulières (CCAP) ;</w:t>
      </w:r>
    </w:p>
    <w:p>
      <w:pPr>
        <w:pStyle w:val="3"/>
        <w:widowControl w:val="0"/>
        <w:numPr>
          <w:ilvl w:val="0"/>
          <w:numId w:val="42"/>
        </w:numPr>
        <w:jc w:val="both"/>
        <w:rPr>
          <w:sz w:val="20"/>
          <w:szCs w:val="20"/>
        </w:rPr>
      </w:pPr>
      <w:r>
        <w:t xml:space="preserve">les Cahiers des Clauses Techniques Particulières (CCTP) ; </w:t>
      </w:r>
    </w:p>
    <w:p>
      <w:pPr>
        <w:pStyle w:val="3"/>
        <w:widowControl w:val="0"/>
        <w:numPr>
          <w:ilvl w:val="0"/>
          <w:numId w:val="42"/>
        </w:numPr>
        <w:jc w:val="both"/>
        <w:rPr>
          <w:sz w:val="20"/>
          <w:szCs w:val="20"/>
        </w:rPr>
      </w:pPr>
      <w:r>
        <w:t>le Devis ou le Détail Quantitatif  Estimatif (DQE) ;</w:t>
      </w:r>
    </w:p>
    <w:p>
      <w:pPr>
        <w:pStyle w:val="3"/>
        <w:widowControl w:val="0"/>
        <w:numPr>
          <w:ilvl w:val="0"/>
          <w:numId w:val="42"/>
        </w:numPr>
        <w:jc w:val="both"/>
        <w:rPr>
          <w:sz w:val="20"/>
          <w:szCs w:val="20"/>
        </w:rPr>
      </w:pPr>
      <w:r>
        <w:t>le Bordereau des Prix Unitaires (BPU) ;</w:t>
      </w:r>
    </w:p>
    <w:p>
      <w:pPr>
        <w:pStyle w:val="3"/>
        <w:widowControl w:val="0"/>
        <w:numPr>
          <w:ilvl w:val="0"/>
          <w:numId w:val="42"/>
        </w:numPr>
        <w:jc w:val="both"/>
        <w:rPr>
          <w:sz w:val="20"/>
          <w:szCs w:val="20"/>
        </w:rPr>
      </w:pPr>
      <w:r>
        <w:t>le Sous-Détail des Prix (SDP) ;</w:t>
      </w:r>
    </w:p>
    <w:p>
      <w:pPr>
        <w:pStyle w:val="3"/>
        <w:widowControl w:val="0"/>
        <w:numPr>
          <w:ilvl w:val="0"/>
          <w:numId w:val="42"/>
        </w:numPr>
        <w:jc w:val="both"/>
        <w:rPr>
          <w:sz w:val="20"/>
          <w:szCs w:val="20"/>
        </w:rPr>
      </w:pPr>
      <w:r>
        <w:t>le Cahier des Clauses Administratives Générales (CCAG) auquel il est spécifiquement assujetti ;</w:t>
      </w:r>
    </w:p>
    <w:p>
      <w:pPr>
        <w:pStyle w:val="3"/>
        <w:numPr>
          <w:ilvl w:val="0"/>
          <w:numId w:val="42"/>
        </w:numPr>
        <w:rPr>
          <w:color w:val="000000"/>
        </w:rPr>
      </w:pPr>
      <w:r>
        <w:rPr>
          <w:color w:val="000000"/>
        </w:rPr>
        <w:t>Le projet/programme d’exécution, etc. [Insérer et indiquer, le cas échéant, les noms et références] ;</w:t>
      </w:r>
    </w:p>
    <w:p>
      <w:pPr>
        <w:pStyle w:val="3"/>
        <w:widowControl w:val="0"/>
        <w:numPr>
          <w:ilvl w:val="0"/>
          <w:numId w:val="42"/>
        </w:numPr>
        <w:jc w:val="both"/>
        <w:rPr>
          <w:sz w:val="22"/>
          <w:szCs w:val="22"/>
        </w:rPr>
      </w:pPr>
      <w:r>
        <w:rPr>
          <w:sz w:val="22"/>
          <w:szCs w:val="22"/>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Pr>
          <w:color w:val="000000"/>
          <w:sz w:val="22"/>
          <w:szCs w:val="22"/>
        </w:rPr>
        <w:t xml:space="preserve">le projet/programme d’exécution </w:t>
      </w:r>
      <w:r>
        <w:rPr>
          <w:sz w:val="22"/>
          <w:szCs w:val="22"/>
        </w:rPr>
        <w:t xml:space="preserve">etc.). </w:t>
      </w:r>
    </w:p>
    <w:p>
      <w:pPr>
        <w:pStyle w:val="3"/>
        <w:widowControl w:val="0"/>
        <w:numPr>
          <w:ilvl w:val="0"/>
          <w:numId w:val="42"/>
        </w:numPr>
        <w:jc w:val="both"/>
        <w:rPr>
          <w:sz w:val="20"/>
          <w:szCs w:val="20"/>
        </w:rPr>
      </w:pPr>
      <w:r>
        <w:t>La charte d’intégrité ;</w:t>
      </w:r>
    </w:p>
    <w:p>
      <w:pPr>
        <w:pStyle w:val="3"/>
        <w:widowControl w:val="0"/>
        <w:numPr>
          <w:ilvl w:val="0"/>
          <w:numId w:val="42"/>
        </w:numPr>
        <w:jc w:val="both"/>
        <w:rPr>
          <w:sz w:val="20"/>
          <w:szCs w:val="20"/>
        </w:rPr>
      </w:pPr>
      <w:r>
        <w:t>La déclaration d’engagement social et environnemental</w:t>
      </w:r>
    </w:p>
    <w:p>
      <w:pPr>
        <w:pStyle w:val="3"/>
        <w:widowControl w:val="0"/>
        <w:jc w:val="both"/>
        <w:rPr>
          <w:sz w:val="10"/>
          <w:szCs w:val="10"/>
        </w:rPr>
      </w:pPr>
    </w:p>
    <w:p>
      <w:pPr>
        <w:pStyle w:val="3"/>
        <w:jc w:val="both"/>
        <w:rPr>
          <w:b/>
          <w:sz w:val="28"/>
          <w:szCs w:val="28"/>
        </w:rPr>
      </w:pPr>
      <w:bookmarkStart w:id="102" w:name="_jzpmwk" w:colFirst="0" w:colLast="0"/>
      <w:bookmarkEnd w:id="102"/>
      <w:r>
        <w:rPr>
          <w:b/>
          <w:sz w:val="28"/>
          <w:szCs w:val="28"/>
        </w:rPr>
        <w:t xml:space="preserve">Article 7-Textes généraux applicables      </w:t>
      </w:r>
    </w:p>
    <w:p>
      <w:pPr>
        <w:pStyle w:val="3"/>
        <w:widowControl w:val="0"/>
        <w:jc w:val="both"/>
        <w:rPr>
          <w:b/>
          <w:i/>
          <w:smallCaps/>
        </w:rPr>
      </w:pPr>
      <w:r>
        <w:t>Le présent marché est soumis aux textes généraux ci-après :</w:t>
      </w:r>
    </w:p>
    <w:p>
      <w:pPr>
        <w:pStyle w:val="3"/>
        <w:widowControl w:val="0"/>
        <w:numPr>
          <w:ilvl w:val="0"/>
          <w:numId w:val="43"/>
        </w:numPr>
        <w:jc w:val="both"/>
        <w:rPr>
          <w:i/>
          <w:sz w:val="20"/>
          <w:szCs w:val="20"/>
        </w:rPr>
      </w:pPr>
      <w:r>
        <w:t>La Loi n° 75/15 du 08 Décembre 1975 portant assurance obligatoire des risques de construction ;</w:t>
      </w:r>
    </w:p>
    <w:p>
      <w:pPr>
        <w:pStyle w:val="3"/>
        <w:widowControl w:val="0"/>
        <w:numPr>
          <w:ilvl w:val="0"/>
          <w:numId w:val="43"/>
        </w:numPr>
        <w:jc w:val="both"/>
        <w:rPr>
          <w:i/>
          <w:sz w:val="20"/>
          <w:szCs w:val="20"/>
        </w:rPr>
      </w:pPr>
      <w:r>
        <w:rPr>
          <w:i/>
        </w:rPr>
        <w:t>La Loi n° 92/007 du 14 août 1992 portant Code de travail ;</w:t>
      </w:r>
    </w:p>
    <w:p>
      <w:pPr>
        <w:pStyle w:val="3"/>
        <w:numPr>
          <w:ilvl w:val="0"/>
          <w:numId w:val="43"/>
        </w:numPr>
        <w:jc w:val="both"/>
        <w:rPr>
          <w:i/>
          <w:sz w:val="20"/>
          <w:szCs w:val="20"/>
        </w:rPr>
      </w:pPr>
      <w:r>
        <w:rPr>
          <w:i/>
        </w:rPr>
        <w:t>La loi n° 2015/018 du 21 décembre 2015 régissant l'activité commerciale au Cameroun ;</w:t>
      </w:r>
    </w:p>
    <w:p>
      <w:pPr>
        <w:pStyle w:val="3"/>
        <w:numPr>
          <w:ilvl w:val="0"/>
          <w:numId w:val="43"/>
        </w:numPr>
        <w:jc w:val="both"/>
        <w:rPr>
          <w:i/>
          <w:sz w:val="20"/>
          <w:szCs w:val="20"/>
        </w:rPr>
      </w:pPr>
      <w:r>
        <w:rPr>
          <w:i/>
        </w:rPr>
        <w:t>La loi N° 98/013 du 14 juil. 1998 relative à la concurrence</w:t>
      </w:r>
    </w:p>
    <w:p>
      <w:pPr>
        <w:pStyle w:val="3"/>
        <w:widowControl w:val="0"/>
        <w:numPr>
          <w:ilvl w:val="0"/>
          <w:numId w:val="43"/>
        </w:numPr>
        <w:jc w:val="both"/>
        <w:rPr>
          <w:i/>
          <w:sz w:val="20"/>
          <w:szCs w:val="20"/>
        </w:rPr>
      </w:pPr>
      <w:r>
        <w:t>La loi  n° 096/12 du 05 août 1996 portant loi-cadre relative à la gestion de l’environnement ;</w:t>
      </w:r>
    </w:p>
    <w:p>
      <w:pPr>
        <w:pStyle w:val="3"/>
        <w:widowControl w:val="0"/>
        <w:numPr>
          <w:ilvl w:val="0"/>
          <w:numId w:val="43"/>
        </w:numPr>
        <w:jc w:val="both"/>
        <w:rPr>
          <w:sz w:val="20"/>
          <w:szCs w:val="20"/>
        </w:rPr>
      </w:pPr>
      <w:r>
        <w:t xml:space="preserve">La loi n° 2018/012 du 11 juillet 2018 portant régime financier de l’Etat ; </w:t>
      </w:r>
    </w:p>
    <w:p>
      <w:pPr>
        <w:pStyle w:val="3"/>
        <w:widowControl w:val="0"/>
        <w:numPr>
          <w:ilvl w:val="0"/>
          <w:numId w:val="43"/>
        </w:numPr>
        <w:jc w:val="both"/>
        <w:rPr>
          <w:i/>
          <w:sz w:val="20"/>
          <w:szCs w:val="20"/>
        </w:rPr>
      </w:pPr>
      <w:r>
        <w:rPr>
          <w:i/>
        </w:rPr>
        <w:t>La loi n°2016/17 du 14 décembre 2016 portant Code minier ;</w:t>
      </w:r>
    </w:p>
    <w:p>
      <w:pPr>
        <w:pStyle w:val="3"/>
        <w:widowControl w:val="0"/>
        <w:numPr>
          <w:ilvl w:val="0"/>
          <w:numId w:val="43"/>
        </w:numPr>
        <w:jc w:val="both"/>
        <w:rPr>
          <w:i/>
          <w:sz w:val="20"/>
          <w:szCs w:val="20"/>
        </w:rPr>
      </w:pPr>
      <w:r>
        <w:rPr>
          <w:i/>
        </w:rPr>
        <w:t>La loi n° …… du … décembre 201X portant loi des finances de la République du Cameroun pour le compte de l’exercice 201(X+1) ;</w:t>
      </w:r>
    </w:p>
    <w:p>
      <w:pPr>
        <w:pStyle w:val="3"/>
        <w:widowControl w:val="0"/>
        <w:numPr>
          <w:ilvl w:val="0"/>
          <w:numId w:val="43"/>
        </w:numPr>
        <w:jc w:val="both"/>
        <w:rPr>
          <w:i/>
          <w:sz w:val="20"/>
          <w:szCs w:val="20"/>
        </w:rPr>
      </w:pPr>
      <w:r>
        <w:rPr>
          <w:i/>
        </w:rPr>
        <w:t>la loi-cadre N° 2011/012 du 6 mai 2011 portant protection du consommateur au Cameroun</w:t>
      </w:r>
    </w:p>
    <w:p>
      <w:pPr>
        <w:pStyle w:val="3"/>
        <w:widowControl w:val="0"/>
        <w:numPr>
          <w:ilvl w:val="0"/>
          <w:numId w:val="43"/>
        </w:numPr>
        <w:jc w:val="both"/>
        <w:rPr>
          <w:i/>
          <w:sz w:val="20"/>
          <w:szCs w:val="20"/>
        </w:rPr>
      </w:pPr>
      <w:r>
        <w:rPr>
          <w:i/>
        </w:rPr>
        <w:t>la loi n°2018/011 du 11 juillet 2018 portant code de transparence des bonnes gouvernances dans la gestion des finances publiques au Cameroun</w:t>
      </w:r>
    </w:p>
    <w:p>
      <w:pPr>
        <w:pStyle w:val="3"/>
        <w:widowControl w:val="0"/>
        <w:numPr>
          <w:ilvl w:val="0"/>
          <w:numId w:val="43"/>
        </w:numPr>
        <w:jc w:val="both"/>
        <w:rPr>
          <w:sz w:val="20"/>
          <w:szCs w:val="20"/>
        </w:rPr>
      </w:pPr>
      <w:r>
        <w:t>Le Décret n° 77-318 du 17 Août 1977 portant application de la loi n° 75-15 du 08</w:t>
      </w:r>
    </w:p>
    <w:p>
      <w:pPr>
        <w:pStyle w:val="3"/>
        <w:widowControl w:val="0"/>
        <w:ind w:left="1080"/>
        <w:jc w:val="both"/>
        <w:rPr>
          <w:i/>
          <w:strike/>
          <w:sz w:val="20"/>
          <w:szCs w:val="20"/>
        </w:rPr>
      </w:pPr>
      <w:r>
        <w:t xml:space="preserve"> Décembre 1975 rendant obligatoire l’assurance des risques relatifs à la construction</w:t>
      </w:r>
      <w:r>
        <w:rPr>
          <w:i/>
        </w:rPr>
        <w:t> ;</w:t>
      </w:r>
    </w:p>
    <w:p>
      <w:pPr>
        <w:pStyle w:val="3"/>
        <w:widowControl w:val="0"/>
        <w:numPr>
          <w:ilvl w:val="0"/>
          <w:numId w:val="43"/>
        </w:numPr>
        <w:ind w:right="-144"/>
        <w:jc w:val="both"/>
        <w:rPr>
          <w:i/>
          <w:sz w:val="20"/>
          <w:szCs w:val="20"/>
        </w:rPr>
      </w:pPr>
      <w:r>
        <w:rPr>
          <w:i/>
        </w:rPr>
        <w:t xml:space="preserve">Le décret n° 2012/075 du 08 mars 2012 portant organisation du Ministère des Marchés Publics </w:t>
      </w:r>
      <w:r>
        <w:t xml:space="preserve">dans ses dispositions non contraires au Code des Marchés Publics </w:t>
      </w:r>
      <w:r>
        <w:rPr>
          <w:i/>
        </w:rPr>
        <w:t>;</w:t>
      </w:r>
    </w:p>
    <w:p>
      <w:pPr>
        <w:pStyle w:val="3"/>
        <w:widowControl w:val="0"/>
        <w:numPr>
          <w:ilvl w:val="0"/>
          <w:numId w:val="43"/>
        </w:numPr>
        <w:jc w:val="both"/>
        <w:rPr>
          <w:i/>
          <w:sz w:val="20"/>
          <w:szCs w:val="20"/>
        </w:rPr>
      </w:pPr>
      <w:r>
        <w:rPr>
          <w:i/>
        </w:rPr>
        <w:t>Le décret n° 2001/048 du 23 février 2001 portant organisation et fonctionnement de l’Agence de Régulation des Marchés Publics et ses textes modificatifs subséquents ;</w:t>
      </w:r>
    </w:p>
    <w:p>
      <w:pPr>
        <w:pStyle w:val="3"/>
        <w:widowControl w:val="0"/>
        <w:numPr>
          <w:ilvl w:val="0"/>
          <w:numId w:val="43"/>
        </w:numPr>
        <w:jc w:val="both"/>
        <w:rPr>
          <w:sz w:val="20"/>
          <w:szCs w:val="20"/>
        </w:rPr>
      </w:pPr>
      <w:r>
        <w:rPr>
          <w:i/>
        </w:rPr>
        <w:t>L</w:t>
      </w:r>
      <w:r>
        <w:t>e Décret n° 2005/577 du 23 février 2005 fixant les modalités de réalisation des études d’impact environnemental ;</w:t>
      </w:r>
    </w:p>
    <w:p>
      <w:pPr>
        <w:pStyle w:val="3"/>
        <w:widowControl w:val="0"/>
        <w:numPr>
          <w:ilvl w:val="0"/>
          <w:numId w:val="43"/>
        </w:numPr>
        <w:jc w:val="both"/>
        <w:rPr>
          <w:sz w:val="20"/>
          <w:szCs w:val="20"/>
        </w:rPr>
      </w:pPr>
      <w:r>
        <w:t>le Décret n° 2011/408 du 9 décembre 2011 portant organisation du Gouvernement modifié et complété par le décret n° 2018/190 du 02 mars 2018;</w:t>
      </w:r>
    </w:p>
    <w:p>
      <w:pPr>
        <w:pStyle w:val="3"/>
        <w:widowControl w:val="0"/>
        <w:numPr>
          <w:ilvl w:val="0"/>
          <w:numId w:val="43"/>
        </w:numPr>
        <w:ind w:right="-144"/>
        <w:jc w:val="both"/>
        <w:rPr>
          <w:sz w:val="20"/>
          <w:szCs w:val="20"/>
        </w:rPr>
      </w:pPr>
      <w:r>
        <w:t>Le Décret n° 2014/0611/PM du 24 mars 2014 fixant les conditions de recours et d’application de l’approche HIMO ;</w:t>
      </w:r>
    </w:p>
    <w:p>
      <w:pPr>
        <w:pStyle w:val="3"/>
        <w:widowControl w:val="0"/>
        <w:numPr>
          <w:ilvl w:val="0"/>
          <w:numId w:val="43"/>
        </w:numPr>
        <w:ind w:right="-15"/>
        <w:jc w:val="both"/>
        <w:rPr>
          <w:sz w:val="20"/>
          <w:szCs w:val="20"/>
        </w:rPr>
      </w:pPr>
      <w:bookmarkStart w:id="103" w:name="_33zd5kd" w:colFirst="0" w:colLast="0"/>
      <w:bookmarkEnd w:id="103"/>
      <w:r>
        <w:t>Le Décret n° 2018/366 du 20 juin 2018 portant Code des Marchés Publics et ses textes d’application ;</w:t>
      </w:r>
    </w:p>
    <w:p>
      <w:pPr>
        <w:pStyle w:val="3"/>
        <w:numPr>
          <w:ilvl w:val="0"/>
          <w:numId w:val="43"/>
        </w:numPr>
        <w:jc w:val="both"/>
        <w:rPr>
          <w:sz w:val="20"/>
          <w:szCs w:val="20"/>
        </w:rPr>
      </w:pPr>
      <w:r>
        <w:t>L’arrêté mettant en vigueur Les Cahiers des Clauses Administratives Générales (CCAG) applicables aux Marchés Publics de travaux en vigueur ;</w:t>
      </w:r>
    </w:p>
    <w:p>
      <w:pPr>
        <w:pStyle w:val="3"/>
        <w:widowControl w:val="0"/>
        <w:numPr>
          <w:ilvl w:val="0"/>
          <w:numId w:val="43"/>
        </w:numPr>
        <w:jc w:val="both"/>
        <w:rPr>
          <w:sz w:val="20"/>
          <w:szCs w:val="20"/>
        </w:rPr>
      </w:pPr>
      <w:r>
        <w:t>La circulaire [</w:t>
      </w:r>
      <w:r>
        <w:rPr>
          <w:i/>
        </w:rPr>
        <w:t>A indiquer en tant que de besoin</w:t>
      </w:r>
      <w: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Pr>
          <w:i/>
        </w:rPr>
        <w:t>[A indiquer en tant que de besoin]</w:t>
      </w:r>
    </w:p>
    <w:p>
      <w:pPr>
        <w:pStyle w:val="3"/>
        <w:widowControl w:val="0"/>
        <w:numPr>
          <w:ilvl w:val="0"/>
          <w:numId w:val="43"/>
        </w:numPr>
        <w:jc w:val="both"/>
        <w:rPr>
          <w:sz w:val="20"/>
          <w:szCs w:val="20"/>
        </w:rPr>
      </w:pPr>
      <w:r>
        <w:rPr>
          <w:i/>
        </w:rPr>
        <w:t xml:space="preserve">Les textes régissant les autres corps de métier ; </w:t>
      </w:r>
    </w:p>
    <w:p>
      <w:pPr>
        <w:pStyle w:val="3"/>
        <w:widowControl w:val="0"/>
        <w:numPr>
          <w:ilvl w:val="0"/>
          <w:numId w:val="43"/>
        </w:numPr>
        <w:tabs>
          <w:tab w:val="left" w:pos="709"/>
          <w:tab w:val="left" w:pos="1134"/>
          <w:tab w:val="left" w:pos="1560"/>
        </w:tabs>
        <w:jc w:val="both"/>
        <w:rPr>
          <w:sz w:val="20"/>
          <w:szCs w:val="20"/>
        </w:rPr>
      </w:pPr>
      <w:r>
        <w:t>D’autres textes spécifiques au domaine concerné par le marché </w:t>
      </w:r>
      <w:r>
        <w:rPr>
          <w:i/>
        </w:rPr>
        <w:t>;</w:t>
      </w:r>
    </w:p>
    <w:p>
      <w:pPr>
        <w:pStyle w:val="3"/>
        <w:widowControl w:val="0"/>
        <w:numPr>
          <w:ilvl w:val="0"/>
          <w:numId w:val="43"/>
        </w:numPr>
        <w:jc w:val="both"/>
        <w:rPr>
          <w:sz w:val="20"/>
          <w:szCs w:val="20"/>
        </w:rPr>
      </w:pPr>
      <w:r>
        <w:t>Les normes en vigueur.</w:t>
      </w:r>
    </w:p>
    <w:p>
      <w:pPr>
        <w:pStyle w:val="3"/>
        <w:widowControl w:val="0"/>
        <w:jc w:val="both"/>
        <w:rPr>
          <w:sz w:val="10"/>
          <w:szCs w:val="10"/>
        </w:rPr>
      </w:pPr>
    </w:p>
    <w:p>
      <w:pPr>
        <w:pStyle w:val="3"/>
        <w:keepNext/>
        <w:jc w:val="both"/>
        <w:rPr>
          <w:color w:val="000000"/>
        </w:rPr>
      </w:pPr>
      <w:bookmarkStart w:id="104" w:name="_1j4nfs6" w:colFirst="0" w:colLast="0"/>
      <w:bookmarkEnd w:id="104"/>
      <w:r>
        <w:rPr>
          <w:color w:val="000000"/>
        </w:rPr>
        <w:t>Article 8 Communication</w:t>
      </w:r>
    </w:p>
    <w:p>
      <w:pPr>
        <w:pStyle w:val="3"/>
        <w:widowControl w:val="0"/>
        <w:jc w:val="both"/>
        <w:rPr>
          <w:rFonts w:ascii="Twentieth Century" w:hAnsi="Twentieth Century" w:eastAsia="Twentieth Century" w:cs="Twentieth Century"/>
          <w:sz w:val="20"/>
          <w:szCs w:val="20"/>
        </w:rPr>
      </w:pPr>
      <w:r>
        <w:rPr>
          <w:rFonts w:ascii="Twentieth Century" w:hAnsi="Twentieth Century" w:eastAsia="Twentieth Century" w:cs="Twentieth Century"/>
        </w:rPr>
        <w:t>7.1. Toutes les communications au titre du présent marché sont écrites et les notifications faites aux adresses ci-après :</w:t>
      </w:r>
    </w:p>
    <w:p>
      <w:pPr>
        <w:pStyle w:val="3"/>
        <w:widowControl w:val="0"/>
        <w:jc w:val="both"/>
        <w:rPr>
          <w:rFonts w:ascii="Twentieth Century" w:hAnsi="Twentieth Century" w:eastAsia="Twentieth Century" w:cs="Twentieth Century"/>
          <w:sz w:val="20"/>
          <w:szCs w:val="20"/>
        </w:rPr>
      </w:pPr>
    </w:p>
    <w:p>
      <w:pPr>
        <w:pStyle w:val="3"/>
        <w:widowControl w:val="0"/>
        <w:numPr>
          <w:ilvl w:val="0"/>
          <w:numId w:val="44"/>
        </w:numPr>
        <w:ind w:left="0" w:firstLine="0"/>
        <w:jc w:val="both"/>
        <w:rPr>
          <w:rFonts w:ascii="Twentieth Century" w:hAnsi="Twentieth Century" w:eastAsia="Twentieth Century" w:cs="Twentieth Century"/>
          <w:sz w:val="20"/>
          <w:szCs w:val="20"/>
        </w:rPr>
      </w:pPr>
      <w:r>
        <w:rPr>
          <w:rFonts w:ascii="Twentieth Century" w:hAnsi="Twentieth Century" w:eastAsia="Twentieth Century" w:cs="Twentieth Century"/>
        </w:rPr>
        <w:t>Dans le cas où l’entrepreneur est le destinataire : Madame/Monsieur:………………</w:t>
      </w:r>
    </w:p>
    <w:p>
      <w:pPr>
        <w:pStyle w:val="3"/>
        <w:widowControl w:val="0"/>
        <w:jc w:val="both"/>
        <w:rPr>
          <w:rFonts w:ascii="Twentieth Century" w:hAnsi="Twentieth Century" w:eastAsia="Twentieth Century" w:cs="Twentieth Century"/>
          <w:sz w:val="20"/>
          <w:szCs w:val="20"/>
        </w:rPr>
      </w:pPr>
    </w:p>
    <w:p>
      <w:pPr>
        <w:pStyle w:val="3"/>
        <w:widowControl w:val="0"/>
        <w:jc w:val="both"/>
        <w:rPr>
          <w:rFonts w:ascii="Twentieth Century" w:hAnsi="Twentieth Century" w:eastAsia="Twentieth Century" w:cs="Twentieth Century"/>
          <w:sz w:val="20"/>
          <w:szCs w:val="20"/>
        </w:rPr>
      </w:pPr>
      <w:r>
        <w:rPr>
          <w:rFonts w:ascii="Twentieth Century" w:hAnsi="Twentieth Century" w:eastAsia="Twentieth Century" w:cs="Twentieth Century"/>
        </w:rPr>
        <w:t>Passé le délai de 15 jours fixé à l’article 6.1 du CCAG pour faire connaître au Maître d’Ouvrage, au chef de service son domicile, les correspondances seront valablement adressées à la mairie de BIWONG BULU.</w:t>
      </w:r>
    </w:p>
    <w:p>
      <w:pPr>
        <w:pStyle w:val="3"/>
        <w:widowControl w:val="0"/>
        <w:jc w:val="both"/>
        <w:rPr>
          <w:rFonts w:ascii="Twentieth Century" w:hAnsi="Twentieth Century" w:eastAsia="Twentieth Century" w:cs="Twentieth Century"/>
          <w:sz w:val="20"/>
          <w:szCs w:val="20"/>
        </w:rPr>
      </w:pPr>
    </w:p>
    <w:p>
      <w:pPr>
        <w:pStyle w:val="3"/>
        <w:widowControl w:val="0"/>
        <w:numPr>
          <w:ilvl w:val="0"/>
          <w:numId w:val="44"/>
        </w:numPr>
        <w:ind w:left="0" w:firstLine="0"/>
        <w:jc w:val="both"/>
        <w:rPr>
          <w:rFonts w:ascii="Twentieth Century" w:hAnsi="Twentieth Century" w:eastAsia="Twentieth Century" w:cs="Twentieth Century"/>
          <w:sz w:val="20"/>
          <w:szCs w:val="20"/>
        </w:rPr>
      </w:pPr>
      <w:r>
        <w:rPr>
          <w:rFonts w:ascii="Twentieth Century" w:hAnsi="Twentieth Century" w:eastAsia="Twentieth Century" w:cs="Twentieth Century"/>
        </w:rPr>
        <w:t>Dans le cas où le Maître d’Ouvrage en est le destinataire :</w:t>
      </w:r>
    </w:p>
    <w:p>
      <w:pPr>
        <w:pStyle w:val="3"/>
        <w:widowControl w:val="0"/>
        <w:jc w:val="both"/>
        <w:rPr>
          <w:rFonts w:ascii="Twentieth Century" w:hAnsi="Twentieth Century" w:eastAsia="Twentieth Century" w:cs="Twentieth Century"/>
          <w:sz w:val="20"/>
          <w:szCs w:val="20"/>
        </w:rPr>
      </w:pPr>
      <w:r>
        <w:rPr>
          <w:rFonts w:ascii="Twentieth Century" w:hAnsi="Twentieth Century" w:eastAsia="Twentieth Century" w:cs="Twentieth Century"/>
        </w:rPr>
        <w:t xml:space="preserve">Monsieur </w:t>
      </w:r>
      <w:r>
        <w:rPr>
          <w:rFonts w:ascii="Twentieth Century" w:hAnsi="Twentieth Century" w:eastAsia="Twentieth Century" w:cs="Twentieth Century"/>
          <w:b/>
        </w:rPr>
        <w:t xml:space="preserve">Le Maire de la Commune de BIWONG BULU </w:t>
      </w:r>
      <w:r>
        <w:rPr>
          <w:rFonts w:ascii="Twentieth Century" w:hAnsi="Twentieth Century" w:eastAsia="Twentieth Century" w:cs="Twentieth Century"/>
        </w:rPr>
        <w:t>avec copie adressée dans les mêmes délais, à l’Autorité contractante, au Chef de service, à l’ingénieur et au Maître d’Œuvre.</w:t>
      </w:r>
    </w:p>
    <w:p>
      <w:pPr>
        <w:pStyle w:val="3"/>
        <w:widowControl w:val="0"/>
        <w:jc w:val="both"/>
        <w:rPr>
          <w:rFonts w:ascii="Twentieth Century" w:hAnsi="Twentieth Century" w:eastAsia="Twentieth Century" w:cs="Twentieth Century"/>
          <w:sz w:val="20"/>
          <w:szCs w:val="20"/>
        </w:rPr>
      </w:pPr>
    </w:p>
    <w:p>
      <w:pPr>
        <w:pStyle w:val="3"/>
        <w:widowControl w:val="0"/>
        <w:tabs>
          <w:tab w:val="left" w:pos="1380"/>
          <w:tab w:val="left" w:pos="1900"/>
          <w:tab w:val="left" w:pos="3920"/>
          <w:tab w:val="left" w:pos="4420"/>
        </w:tabs>
        <w:jc w:val="both"/>
        <w:rPr>
          <w:rFonts w:ascii="Twentieth Century" w:hAnsi="Twentieth Century" w:eastAsia="Twentieth Century" w:cs="Twentieth Century"/>
        </w:rPr>
      </w:pPr>
      <w:r>
        <w:rPr>
          <w:rFonts w:ascii="Twentieth Century" w:hAnsi="Twentieth Century" w:eastAsia="Twentieth Century" w:cs="Twentieth Century"/>
        </w:rPr>
        <w:t>7.2. L’entrepreneur adressera toutes notifications écrites ou correspondances au Maître d’Œuvre, avec copie au Chef de service du marché, à l’ingénieur et à l’Organisme Payeur.</w:t>
      </w:r>
    </w:p>
    <w:p>
      <w:pPr>
        <w:pStyle w:val="3"/>
        <w:widowControl w:val="0"/>
        <w:tabs>
          <w:tab w:val="left" w:pos="1380"/>
          <w:tab w:val="left" w:pos="1900"/>
          <w:tab w:val="left" w:pos="3920"/>
          <w:tab w:val="left" w:pos="4420"/>
        </w:tabs>
        <w:jc w:val="both"/>
        <w:rPr>
          <w:rFonts w:ascii="Twentieth Century" w:hAnsi="Twentieth Century" w:eastAsia="Twentieth Century" w:cs="Twentieth Century"/>
        </w:rPr>
      </w:pPr>
    </w:p>
    <w:p>
      <w:pPr>
        <w:pStyle w:val="3"/>
        <w:keepNext/>
        <w:numPr>
          <w:ilvl w:val="0"/>
          <w:numId w:val="40"/>
        </w:numPr>
        <w:ind w:left="714" w:hanging="357"/>
        <w:jc w:val="center"/>
      </w:pPr>
      <w:bookmarkStart w:id="105" w:name="_434ayfz" w:colFirst="0" w:colLast="0"/>
      <w:bookmarkEnd w:id="105"/>
      <w:r>
        <w:rPr>
          <w:smallCaps/>
          <w:color w:val="000000"/>
          <w:sz w:val="32"/>
          <w:szCs w:val="32"/>
        </w:rPr>
        <w:t>EXÉCUTION DES TRAVAUX</w:t>
      </w:r>
    </w:p>
    <w:p>
      <w:pPr>
        <w:pStyle w:val="3"/>
        <w:keepNext/>
        <w:ind w:left="714"/>
      </w:pPr>
    </w:p>
    <w:p>
      <w:pPr>
        <w:pStyle w:val="3"/>
        <w:keepNext/>
        <w:ind w:left="1071" w:hanging="357"/>
        <w:rPr>
          <w:smallCaps/>
          <w:color w:val="000000"/>
          <w:sz w:val="10"/>
          <w:szCs w:val="10"/>
        </w:rPr>
      </w:pPr>
    </w:p>
    <w:p>
      <w:pPr>
        <w:pStyle w:val="3"/>
        <w:keepNext/>
        <w:jc w:val="both"/>
        <w:rPr>
          <w:color w:val="000000"/>
        </w:rPr>
      </w:pPr>
      <w:bookmarkStart w:id="106" w:name="_2i9l8ns" w:colFirst="0" w:colLast="0"/>
      <w:bookmarkEnd w:id="106"/>
      <w:r>
        <w:rPr>
          <w:color w:val="000000"/>
        </w:rPr>
        <w:t>Article 9 Consistance des prestations</w:t>
      </w:r>
    </w:p>
    <w:p>
      <w:pPr>
        <w:pStyle w:val="3"/>
        <w:widowControl w:val="0"/>
        <w:jc w:val="both"/>
        <w:rPr>
          <w:b/>
          <w:i/>
          <w:smallCaps/>
        </w:rPr>
      </w:pPr>
      <w:r>
        <w:t>Les travaux à réaliser dans le cadre de la présente lettre commande  comprennent :</w:t>
      </w:r>
    </w:p>
    <w:p>
      <w:pPr>
        <w:pStyle w:val="3"/>
        <w:widowControl w:val="0"/>
        <w:numPr>
          <w:ilvl w:val="0"/>
          <w:numId w:val="3"/>
        </w:numPr>
        <w:spacing w:line="360" w:lineRule="auto"/>
        <w:jc w:val="both"/>
        <w:rPr>
          <w:sz w:val="20"/>
          <w:szCs w:val="20"/>
        </w:rPr>
      </w:pPr>
      <w:r>
        <w:t xml:space="preserve"> TRAVAUX PRELIMINAIRES-TERRASSEMENT ;</w:t>
      </w:r>
    </w:p>
    <w:p>
      <w:pPr>
        <w:pStyle w:val="3"/>
        <w:widowControl w:val="0"/>
        <w:numPr>
          <w:ilvl w:val="0"/>
          <w:numId w:val="3"/>
        </w:numPr>
        <w:spacing w:line="360" w:lineRule="auto"/>
        <w:jc w:val="both"/>
        <w:rPr>
          <w:sz w:val="20"/>
          <w:szCs w:val="20"/>
        </w:rPr>
      </w:pPr>
      <w:r>
        <w:t>FONDATIONS ;</w:t>
      </w:r>
    </w:p>
    <w:p>
      <w:pPr>
        <w:pStyle w:val="3"/>
        <w:widowControl w:val="0"/>
        <w:numPr>
          <w:ilvl w:val="0"/>
          <w:numId w:val="3"/>
        </w:numPr>
        <w:spacing w:line="360" w:lineRule="auto"/>
        <w:jc w:val="both"/>
        <w:rPr>
          <w:sz w:val="20"/>
          <w:szCs w:val="20"/>
        </w:rPr>
      </w:pPr>
      <w:r>
        <w:t>MACONNERIE ;</w:t>
      </w:r>
    </w:p>
    <w:p>
      <w:pPr>
        <w:pStyle w:val="3"/>
        <w:widowControl w:val="0"/>
        <w:numPr>
          <w:ilvl w:val="0"/>
          <w:numId w:val="3"/>
        </w:numPr>
        <w:spacing w:line="360" w:lineRule="auto"/>
        <w:jc w:val="both"/>
        <w:rPr>
          <w:sz w:val="20"/>
          <w:szCs w:val="20"/>
        </w:rPr>
      </w:pPr>
      <w:r>
        <w:t>REVETEMENT DES SCELLES</w:t>
      </w:r>
    </w:p>
    <w:p>
      <w:pPr>
        <w:pStyle w:val="3"/>
        <w:widowControl w:val="0"/>
        <w:numPr>
          <w:ilvl w:val="0"/>
          <w:numId w:val="3"/>
        </w:numPr>
        <w:spacing w:line="360" w:lineRule="auto"/>
        <w:jc w:val="both"/>
        <w:rPr>
          <w:sz w:val="20"/>
          <w:szCs w:val="20"/>
        </w:rPr>
      </w:pPr>
      <w:r>
        <w:t>CHARPENTE ET COUVERTURE ;</w:t>
      </w:r>
    </w:p>
    <w:p>
      <w:pPr>
        <w:pStyle w:val="3"/>
        <w:widowControl w:val="0"/>
        <w:numPr>
          <w:ilvl w:val="0"/>
          <w:numId w:val="3"/>
        </w:numPr>
        <w:spacing w:line="360" w:lineRule="auto"/>
        <w:jc w:val="both"/>
        <w:rPr>
          <w:sz w:val="20"/>
          <w:szCs w:val="20"/>
        </w:rPr>
      </w:pPr>
      <w:r>
        <w:t>MENUISERIE  BOIS ;</w:t>
      </w:r>
    </w:p>
    <w:p>
      <w:pPr>
        <w:pStyle w:val="3"/>
        <w:widowControl w:val="0"/>
        <w:numPr>
          <w:ilvl w:val="0"/>
          <w:numId w:val="3"/>
        </w:numPr>
        <w:spacing w:line="360" w:lineRule="auto"/>
        <w:jc w:val="both"/>
        <w:rPr>
          <w:sz w:val="20"/>
          <w:szCs w:val="20"/>
        </w:rPr>
      </w:pPr>
      <w:r>
        <w:t>ELECTRICITE ;</w:t>
      </w:r>
    </w:p>
    <w:p>
      <w:pPr>
        <w:pStyle w:val="3"/>
        <w:widowControl w:val="0"/>
        <w:numPr>
          <w:ilvl w:val="0"/>
          <w:numId w:val="3"/>
        </w:numPr>
        <w:spacing w:line="360" w:lineRule="auto"/>
        <w:jc w:val="both"/>
        <w:rPr>
          <w:sz w:val="20"/>
          <w:szCs w:val="20"/>
        </w:rPr>
      </w:pPr>
      <w:r>
        <w:t>PLONBERIE SANITAIRE</w:t>
      </w:r>
    </w:p>
    <w:p>
      <w:pPr>
        <w:pStyle w:val="3"/>
        <w:widowControl w:val="0"/>
        <w:jc w:val="both"/>
        <w:rPr>
          <w:i/>
          <w:sz w:val="10"/>
          <w:szCs w:val="10"/>
        </w:rPr>
      </w:pPr>
    </w:p>
    <w:p>
      <w:pPr>
        <w:pStyle w:val="3"/>
        <w:jc w:val="both"/>
        <w:rPr>
          <w:b/>
          <w:sz w:val="28"/>
          <w:szCs w:val="28"/>
        </w:rPr>
      </w:pPr>
      <w:r>
        <w:rPr>
          <w:b/>
          <w:sz w:val="28"/>
          <w:szCs w:val="28"/>
        </w:rPr>
        <w:t>Article 10- Délais d’exécution du marché</w:t>
      </w:r>
    </w:p>
    <w:p>
      <w:pPr>
        <w:pStyle w:val="3"/>
        <w:widowControl w:val="0"/>
        <w:numPr>
          <w:ilvl w:val="1"/>
          <w:numId w:val="45"/>
        </w:numPr>
        <w:spacing w:line="244" w:lineRule="auto"/>
        <w:ind w:left="720"/>
        <w:jc w:val="both"/>
        <w:rPr>
          <w:color w:val="000000"/>
        </w:rPr>
      </w:pPr>
      <w:r>
        <w:rPr>
          <w:color w:val="000000"/>
        </w:rPr>
        <w:t xml:space="preserve">Le délai d’exécution des travaux objet de la  présente lettre commande   est de : 90 jours </w:t>
      </w:r>
      <w:r>
        <w:rPr>
          <w:i/>
          <w:color w:val="000000"/>
        </w:rPr>
        <w:t xml:space="preserve"> 03 </w:t>
      </w:r>
      <w:r>
        <w:rPr>
          <w:color w:val="000000"/>
        </w:rPr>
        <w:t xml:space="preserve">Mois </w:t>
      </w:r>
    </w:p>
    <w:p>
      <w:pPr>
        <w:pStyle w:val="3"/>
        <w:widowControl w:val="0"/>
        <w:numPr>
          <w:ilvl w:val="1"/>
          <w:numId w:val="45"/>
        </w:numPr>
        <w:ind w:left="578" w:hanging="578"/>
        <w:jc w:val="both"/>
        <w:rPr>
          <w:color w:val="000000"/>
        </w:rPr>
      </w:pPr>
      <w:r>
        <w:rPr>
          <w:color w:val="000000"/>
        </w:rPr>
        <w:t>Ce délai court à compter de la date de notification de l’ordre de service de commencer les travaux.</w:t>
      </w:r>
    </w:p>
    <w:p>
      <w:pPr>
        <w:pStyle w:val="3"/>
        <w:widowControl w:val="0"/>
        <w:jc w:val="both"/>
        <w:rPr>
          <w:i/>
          <w:sz w:val="10"/>
          <w:szCs w:val="10"/>
        </w:rPr>
      </w:pPr>
    </w:p>
    <w:p>
      <w:pPr>
        <w:pStyle w:val="3"/>
        <w:widowControl w:val="0"/>
        <w:jc w:val="both"/>
        <w:rPr>
          <w:b/>
          <w:sz w:val="10"/>
          <w:szCs w:val="10"/>
        </w:rPr>
      </w:pPr>
    </w:p>
    <w:p>
      <w:pPr>
        <w:pStyle w:val="3"/>
        <w:keepNext/>
        <w:jc w:val="both"/>
        <w:rPr>
          <w:color w:val="000000"/>
        </w:rPr>
      </w:pPr>
      <w:bookmarkStart w:id="107" w:name="_4hr1b5p" w:colFirst="0" w:colLast="0"/>
      <w:bookmarkEnd w:id="107"/>
      <w:r>
        <w:rPr>
          <w:color w:val="000000"/>
        </w:rPr>
        <w:t xml:space="preserve">Article 11- Obligations du Maître d’Ouvrage ou du Maître d’Ouvrage Délégué </w:t>
      </w:r>
    </w:p>
    <w:p>
      <w:pPr>
        <w:pStyle w:val="3"/>
        <w:widowControl w:val="0"/>
        <w:jc w:val="both"/>
        <w:rPr>
          <w:b/>
          <w:i/>
          <w:smallCaps/>
        </w:rPr>
      </w:pPr>
      <w:r>
        <w:t>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pPr>
        <w:pStyle w:val="3"/>
        <w:widowControl w:val="0"/>
        <w:jc w:val="both"/>
        <w:rPr>
          <w:sz w:val="10"/>
          <w:szCs w:val="10"/>
        </w:rPr>
      </w:pPr>
    </w:p>
    <w:p>
      <w:pPr>
        <w:pStyle w:val="3"/>
        <w:widowControl w:val="0"/>
        <w:jc w:val="both"/>
        <w:rPr>
          <w:b/>
          <w:i/>
          <w:smallCaps/>
        </w:rPr>
      </w:pPr>
      <w:r>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pPr>
        <w:pStyle w:val="3"/>
        <w:widowControl w:val="0"/>
        <w:jc w:val="both"/>
        <w:rPr>
          <w:sz w:val="10"/>
          <w:szCs w:val="10"/>
        </w:rPr>
      </w:pPr>
    </w:p>
    <w:p>
      <w:pPr>
        <w:pStyle w:val="3"/>
        <w:widowControl w:val="0"/>
        <w:jc w:val="both"/>
        <w:rPr>
          <w:b/>
          <w:i/>
          <w:smallCaps/>
        </w:rPr>
      </w:pPr>
      <w:r>
        <w:t xml:space="preserve">11.3. Si le cocontractant de l’administration en fait la demande, le Maître d’ouvrage ou le </w:t>
      </w:r>
      <w:r>
        <w:rPr>
          <w:i/>
        </w:rPr>
        <w:t xml:space="preserve">Maître d’Ouvrage Délégué </w:t>
      </w:r>
      <w: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pPr>
        <w:pStyle w:val="3"/>
        <w:widowControl w:val="0"/>
        <w:jc w:val="both"/>
        <w:rPr>
          <w:sz w:val="10"/>
          <w:szCs w:val="10"/>
        </w:rPr>
      </w:pPr>
    </w:p>
    <w:p>
      <w:pPr>
        <w:pStyle w:val="3"/>
        <w:widowControl w:val="0"/>
        <w:jc w:val="both"/>
        <w:rPr>
          <w:b/>
          <w:i/>
          <w:smallCaps/>
        </w:rPr>
      </w:pPr>
      <w:r>
        <w:t>11.4 Le Maître d’Ouvrage assure au cocontractant la protection contre les menaces, outrages, violences, voies de fait, injures ou diffamations, dont il peut être victime en raison ou à l’occasion de l’exercice de sa mission.</w:t>
      </w:r>
    </w:p>
    <w:p>
      <w:pPr>
        <w:pStyle w:val="3"/>
        <w:widowControl w:val="0"/>
        <w:jc w:val="both"/>
        <w:rPr>
          <w:sz w:val="10"/>
          <w:szCs w:val="10"/>
        </w:rPr>
      </w:pPr>
    </w:p>
    <w:p>
      <w:pPr>
        <w:pStyle w:val="3"/>
        <w:keepNext/>
        <w:jc w:val="both"/>
        <w:rPr>
          <w:color w:val="000000"/>
        </w:rPr>
      </w:pPr>
      <w:bookmarkStart w:id="108" w:name="_xevivl" w:colFirst="0" w:colLast="0"/>
      <w:bookmarkEnd w:id="108"/>
      <w:r>
        <w:rPr>
          <w:color w:val="000000"/>
        </w:rPr>
        <w:t xml:space="preserve">Article 12- Ordres de service </w:t>
      </w:r>
    </w:p>
    <w:p>
      <w:pPr>
        <w:pStyle w:val="3"/>
        <w:widowControl w:val="0"/>
        <w:tabs>
          <w:tab w:val="left" w:pos="2410"/>
        </w:tabs>
        <w:jc w:val="both"/>
        <w:rPr>
          <w:b/>
          <w:i/>
          <w:smallCaps/>
        </w:rPr>
      </w:pPr>
      <w:r>
        <w:t xml:space="preserve">Les différents ordres de service seront établis et notifiés dans les conditions suivantes : </w:t>
      </w:r>
    </w:p>
    <w:p>
      <w:pPr>
        <w:pStyle w:val="3"/>
        <w:widowControl w:val="0"/>
        <w:tabs>
          <w:tab w:val="left" w:pos="2410"/>
        </w:tabs>
        <w:jc w:val="both"/>
        <w:rPr>
          <w:b/>
          <w:i/>
          <w:smallCaps/>
        </w:rPr>
      </w:pPr>
      <w:r>
        <w:t>12.1. Dès notification du marché au titulaire, le Maître d’Ouvrage ou le Maître d’Ouvrage Délégué dispose d’un délai de quinze (15) jours calendaires pour signer l’ordre de service de démarrage des travaux</w:t>
      </w:r>
      <w:r>
        <w:rPr>
          <w:i/>
        </w:rPr>
        <w:t xml:space="preserve">. Cet Ordre de service est </w:t>
      </w:r>
      <w:r>
        <w:t>notifié au cocontractant par le Chef de service du marché dans un délai de sept (7) jours calendaires Une copie dudit</w:t>
      </w:r>
      <w:r>
        <w:rPr>
          <w:i/>
        </w:rPr>
        <w:t xml:space="preserve"> </w:t>
      </w:r>
      <w:r>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pPr>
        <w:pStyle w:val="3"/>
        <w:widowControl w:val="0"/>
        <w:tabs>
          <w:tab w:val="left" w:pos="2410"/>
        </w:tabs>
        <w:jc w:val="both"/>
        <w:rPr>
          <w:sz w:val="10"/>
          <w:szCs w:val="10"/>
        </w:rPr>
      </w:pPr>
    </w:p>
    <w:p>
      <w:pPr>
        <w:pStyle w:val="3"/>
        <w:widowControl w:val="0"/>
        <w:jc w:val="both"/>
        <w:rPr>
          <w:b/>
          <w:i/>
          <w:smallCaps/>
        </w:rPr>
      </w:pPr>
      <w:r>
        <w:t>12.2 Les ordres de services ayant une incidence sur le montant et/ou sur le délai du marché, sont signés par le Maître d’Ouvrage dans les conditions suivantes :</w:t>
      </w:r>
    </w:p>
    <w:p>
      <w:pPr>
        <w:pStyle w:val="3"/>
        <w:widowControl w:val="0"/>
        <w:numPr>
          <w:ilvl w:val="0"/>
          <w:numId w:val="46"/>
        </w:numPr>
        <w:ind w:firstLine="136"/>
        <w:jc w:val="both"/>
        <w:rPr>
          <w:b/>
          <w:i/>
          <w:smallCaps/>
        </w:rPr>
      </w:pPr>
      <w:r>
        <w:t>lorsqu’un ordre de service est susceptible d’entraîner le dépassement du montant du marché, sa signature est subordonnée aux justificatifs du financement par le Maître d’Ouvrage ou le Maître d’Ouvrage Délégué;</w:t>
      </w:r>
    </w:p>
    <w:p>
      <w:pPr>
        <w:pStyle w:val="3"/>
        <w:numPr>
          <w:ilvl w:val="0"/>
          <w:numId w:val="46"/>
        </w:numPr>
        <w:ind w:left="726" w:hanging="5"/>
      </w:pPr>
      <w:r>
        <w:rPr>
          <w:color w:val="000000"/>
        </w:rPr>
        <w:t>en cas de dépassement du montant du marché, les modifications ne peuvent se faire que par voie d’avenant et les prestations supplémentaires ne peuvent être payées qu’après signature de ce dernier par le Maître d’Ouvrage ou le Maître d’Ouvrage Délégué;</w:t>
      </w:r>
    </w:p>
    <w:p>
      <w:pPr>
        <w:pStyle w:val="3"/>
        <w:widowControl w:val="0"/>
        <w:numPr>
          <w:ilvl w:val="0"/>
          <w:numId w:val="46"/>
        </w:numPr>
        <w:ind w:hanging="6"/>
        <w:jc w:val="both"/>
        <w:rPr>
          <w:b/>
          <w:i/>
          <w:smallCaps/>
        </w:rPr>
      </w:pPr>
      <w: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pPr>
        <w:pStyle w:val="3"/>
        <w:widowControl w:val="0"/>
        <w:ind w:left="119"/>
        <w:jc w:val="both"/>
        <w:rPr>
          <w:b/>
          <w:i/>
          <w:smallCaps/>
        </w:rPr>
      </w:pPr>
      <w:r>
        <w:t xml:space="preserve">Une copie des ordres de service susvisés sera adressée au Chef de service du marché, à l’Ingénieur du marché, à l’Organisme Payeur et au Maître d’œuvre le cas échéant. </w:t>
      </w:r>
    </w:p>
    <w:p>
      <w:pPr>
        <w:pStyle w:val="3"/>
        <w:widowControl w:val="0"/>
        <w:ind w:left="119"/>
        <w:jc w:val="both"/>
        <w:rPr>
          <w:b/>
          <w:i/>
          <w:smallCaps/>
        </w:rPr>
      </w:pPr>
      <w:r>
        <w:t>d. Le visa préalable de l’Organisme Payeur sera éventuellement requis avant la signature de ceux ayant une incidence sur le montant.</w:t>
      </w:r>
    </w:p>
    <w:p>
      <w:pPr>
        <w:pStyle w:val="3"/>
        <w:widowControl w:val="0"/>
        <w:ind w:left="119"/>
        <w:jc w:val="both"/>
        <w:rPr>
          <w:b/>
          <w:i/>
          <w:smallCaps/>
        </w:rPr>
      </w:pPr>
      <w:r>
        <w:t>e. En tout état de cause, toute modification touchant aux spécifications techniques ou clauses techniques particulières doit faire l’objet d’une étude préalable sur l’étendue, le coût et les délais du marché.</w:t>
      </w:r>
    </w:p>
    <w:p>
      <w:pPr>
        <w:pStyle w:val="3"/>
        <w:widowControl w:val="0"/>
        <w:ind w:left="119"/>
        <w:jc w:val="both"/>
        <w:rPr>
          <w:sz w:val="10"/>
          <w:szCs w:val="10"/>
        </w:rPr>
      </w:pPr>
    </w:p>
    <w:p>
      <w:pPr>
        <w:pStyle w:val="3"/>
        <w:widowControl w:val="0"/>
        <w:jc w:val="both"/>
        <w:rPr>
          <w:b/>
          <w:i/>
          <w:smallCaps/>
        </w:rPr>
      </w:pPr>
      <w: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pPr>
        <w:pStyle w:val="3"/>
        <w:widowControl w:val="0"/>
        <w:jc w:val="both"/>
        <w:rPr>
          <w:sz w:val="10"/>
          <w:szCs w:val="10"/>
        </w:rPr>
      </w:pPr>
    </w:p>
    <w:p>
      <w:pPr>
        <w:pStyle w:val="3"/>
        <w:widowControl w:val="0"/>
        <w:jc w:val="both"/>
        <w:rPr>
          <w:b/>
          <w:i/>
          <w:smallCaps/>
        </w:rPr>
      </w:pPr>
      <w:r>
        <w:t>12. 4.</w:t>
      </w:r>
      <w:r>
        <w:tab/>
      </w:r>
      <w:r>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pPr>
        <w:pStyle w:val="3"/>
        <w:widowControl w:val="0"/>
        <w:jc w:val="both"/>
        <w:rPr>
          <w:sz w:val="10"/>
          <w:szCs w:val="10"/>
        </w:rPr>
      </w:pPr>
    </w:p>
    <w:p>
      <w:pPr>
        <w:pStyle w:val="3"/>
        <w:widowControl w:val="0"/>
        <w:jc w:val="both"/>
        <w:rPr>
          <w:b/>
          <w:i/>
          <w:smallCaps/>
        </w:rPr>
      </w:pPr>
      <w:r>
        <w:t>12. 5.</w:t>
      </w:r>
      <w:r>
        <w:tab/>
      </w:r>
      <w:r>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pPr>
        <w:pStyle w:val="3"/>
        <w:widowControl w:val="0"/>
        <w:jc w:val="both"/>
        <w:rPr>
          <w:sz w:val="10"/>
          <w:szCs w:val="10"/>
        </w:rPr>
      </w:pPr>
    </w:p>
    <w:p>
      <w:pPr>
        <w:pStyle w:val="3"/>
        <w:widowControl w:val="0"/>
        <w:jc w:val="both"/>
        <w:rPr>
          <w:b/>
          <w:i/>
          <w:smallCaps/>
        </w:rPr>
      </w:pPr>
      <w:r>
        <w:t>12. 6.</w:t>
      </w:r>
      <w:r>
        <w:tab/>
      </w:r>
      <w: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pPr>
        <w:pStyle w:val="3"/>
        <w:widowControl w:val="0"/>
        <w:jc w:val="both"/>
        <w:rPr>
          <w:sz w:val="10"/>
          <w:szCs w:val="10"/>
        </w:rPr>
      </w:pPr>
    </w:p>
    <w:p>
      <w:pPr>
        <w:pStyle w:val="3"/>
        <w:widowControl w:val="0"/>
        <w:jc w:val="both"/>
        <w:rPr>
          <w:b/>
          <w:i/>
          <w:smallCaps/>
        </w:rPr>
      </w:pPr>
      <w:r>
        <w:t>12. 7.</w:t>
      </w:r>
      <w:r>
        <w:tab/>
      </w:r>
      <w:r>
        <w:t>Le Cocontractant dispose d’un délai de quinze (15) jours pour émettre des réserves sur tout ordre de service reçu. Le fait d’émettre des réserves ne dispense pas le Cocontractant d’exécuter les ordres de service reçus.</w:t>
      </w:r>
    </w:p>
    <w:p>
      <w:pPr>
        <w:pStyle w:val="3"/>
        <w:widowControl w:val="0"/>
        <w:jc w:val="both"/>
        <w:rPr>
          <w:sz w:val="10"/>
          <w:szCs w:val="10"/>
        </w:rPr>
      </w:pPr>
    </w:p>
    <w:p>
      <w:pPr>
        <w:pStyle w:val="3"/>
        <w:widowControl w:val="0"/>
        <w:jc w:val="both"/>
        <w:rPr>
          <w:b/>
          <w:i/>
          <w:smallCaps/>
        </w:rPr>
      </w:pPr>
      <w:r>
        <w:rPr>
          <w:color w:val="FF0000"/>
        </w:rPr>
        <w:t>12.8</w:t>
      </w:r>
      <w:r>
        <w:rPr>
          <w:color w:val="FF0000"/>
        </w:rPr>
        <w:tab/>
      </w:r>
      <w:r>
        <w:t>En cas de groupement d'entreprises, les ordres de service sont adressés au mandataire, qui a seule qualité pour présenter des réserves au nom du groupement, qu’il représente.</w:t>
      </w:r>
    </w:p>
    <w:p>
      <w:pPr>
        <w:pStyle w:val="3"/>
        <w:widowControl w:val="0"/>
        <w:jc w:val="both"/>
        <w:rPr>
          <w:sz w:val="10"/>
          <w:szCs w:val="10"/>
        </w:rPr>
      </w:pPr>
    </w:p>
    <w:p>
      <w:pPr>
        <w:pStyle w:val="3"/>
        <w:widowControl w:val="0"/>
        <w:jc w:val="both"/>
        <w:rPr>
          <w:b/>
          <w:i/>
          <w:smallCaps/>
        </w:rPr>
      </w:pPr>
      <w:r>
        <w:t>12.9</w:t>
      </w:r>
      <w:r>
        <w:tab/>
      </w:r>
      <w:r>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pPr>
        <w:pStyle w:val="3"/>
        <w:widowControl w:val="0"/>
        <w:jc w:val="both"/>
        <w:rPr>
          <w:sz w:val="10"/>
          <w:szCs w:val="10"/>
        </w:rPr>
      </w:pPr>
    </w:p>
    <w:p>
      <w:pPr>
        <w:pStyle w:val="3"/>
        <w:widowControl w:val="0"/>
        <w:jc w:val="both"/>
        <w:rPr>
          <w:b/>
          <w:i/>
          <w:smallCaps/>
        </w:rPr>
      </w:pPr>
      <w:bookmarkStart w:id="109" w:name="_3hej1je" w:colFirst="0" w:colLast="0"/>
      <w:bookmarkEnd w:id="109"/>
      <w:r>
        <w:t>12.10</w:t>
      </w:r>
      <w:r>
        <w:tab/>
      </w:r>
      <w:r>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pPr>
        <w:pStyle w:val="3"/>
        <w:widowControl w:val="0"/>
        <w:jc w:val="both"/>
        <w:rPr>
          <w:sz w:val="10"/>
          <w:szCs w:val="10"/>
        </w:rPr>
      </w:pPr>
    </w:p>
    <w:p>
      <w:pPr>
        <w:pStyle w:val="3"/>
        <w:keepNext/>
        <w:jc w:val="both"/>
        <w:rPr>
          <w:color w:val="000000"/>
        </w:rPr>
      </w:pPr>
      <w:r>
        <w:rPr>
          <w:color w:val="000000"/>
        </w:rPr>
        <w:t>Article 13-Rôles et responsabilités du cocontractant de l’administration</w:t>
      </w:r>
    </w:p>
    <w:p>
      <w:pPr>
        <w:pStyle w:val="3"/>
        <w:widowControl w:val="0"/>
        <w:jc w:val="both"/>
        <w:rPr>
          <w:b/>
          <w:i/>
          <w:smallCaps/>
        </w:rPr>
      </w:pPr>
      <w:bookmarkStart w:id="110" w:name="_1wjtbr7" w:colFirst="0" w:colLast="0"/>
      <w:bookmarkEnd w:id="110"/>
      <w:r>
        <w:rPr>
          <w:b/>
        </w:rPr>
        <w:t>13.1</w:t>
      </w:r>
      <w:r>
        <w:t xml:space="preserve"> Le cocontractant a pour mission d’assurer l’exécution des travaux sous le contrôle de l’Ingénieur </w:t>
      </w:r>
      <w:r>
        <w:rPr>
          <w:color w:val="ED7D31"/>
        </w:rPr>
        <w:t xml:space="preserve"> </w:t>
      </w:r>
      <w: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pPr>
        <w:pStyle w:val="3"/>
        <w:widowControl w:val="0"/>
        <w:jc w:val="both"/>
        <w:rPr>
          <w:sz w:val="10"/>
          <w:szCs w:val="10"/>
        </w:rPr>
      </w:pPr>
    </w:p>
    <w:p>
      <w:pPr>
        <w:pStyle w:val="3"/>
        <w:widowControl w:val="0"/>
        <w:jc w:val="both"/>
        <w:rPr>
          <w:color w:val="ED7D31"/>
          <w:sz w:val="20"/>
          <w:szCs w:val="20"/>
        </w:rPr>
      </w:pPr>
      <w:bookmarkStart w:id="111" w:name="_4gjguf0" w:colFirst="0" w:colLast="0"/>
      <w:bookmarkEnd w:id="111"/>
      <w: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r>
        <w:rPr>
          <w:color w:val="ED7D31"/>
        </w:rPr>
        <w:t xml:space="preserve">. </w:t>
      </w:r>
    </w:p>
    <w:p>
      <w:pPr>
        <w:pStyle w:val="3"/>
        <w:widowControl w:val="0"/>
        <w:jc w:val="both"/>
        <w:rPr>
          <w:color w:val="ED7D31"/>
          <w:sz w:val="10"/>
          <w:szCs w:val="10"/>
        </w:rPr>
      </w:pPr>
    </w:p>
    <w:p>
      <w:pPr>
        <w:pStyle w:val="3"/>
        <w:widowControl w:val="0"/>
        <w:jc w:val="both"/>
        <w:rPr>
          <w:b/>
          <w:i/>
          <w:smallCaps/>
        </w:rPr>
      </w:pPr>
      <w:bookmarkStart w:id="112" w:name="_2vor4mt" w:colFirst="0" w:colLast="0"/>
      <w:bookmarkEnd w:id="112"/>
      <w:r>
        <w:t>13.3 Pendant la durée du marché, le cocontractant ne s'engage pas directement ou indirectement, dans des activités professionnelles ou contractuelles susceptibles de compromettre son indépendance par rapport aux missions, qui lui sont dévolues.</w:t>
      </w:r>
    </w:p>
    <w:p>
      <w:pPr>
        <w:pStyle w:val="3"/>
        <w:widowControl w:val="0"/>
        <w:jc w:val="both"/>
        <w:rPr>
          <w:sz w:val="10"/>
          <w:szCs w:val="10"/>
        </w:rPr>
      </w:pPr>
    </w:p>
    <w:p>
      <w:pPr>
        <w:pStyle w:val="3"/>
        <w:widowControl w:val="0"/>
        <w:jc w:val="both"/>
        <w:rPr>
          <w:b/>
          <w:i/>
          <w:smallCaps/>
        </w:rPr>
      </w:pPr>
      <w:r>
        <w:t>13.4 En cas de conflit d’intérêt du fait d’un membre de l’équipe de la mission, le cocontractant doit le signaler par écrit au Maître d’Ouvrage et doit remplacer l’expert en question, impliqué dans le projet ou le marché.</w:t>
      </w:r>
    </w:p>
    <w:p>
      <w:pPr>
        <w:pStyle w:val="3"/>
        <w:widowControl w:val="0"/>
        <w:jc w:val="both"/>
        <w:rPr>
          <w:sz w:val="10"/>
          <w:szCs w:val="10"/>
        </w:rPr>
      </w:pPr>
    </w:p>
    <w:p>
      <w:pPr>
        <w:pStyle w:val="3"/>
        <w:widowControl w:val="0"/>
        <w:jc w:val="both"/>
        <w:rPr>
          <w:b/>
          <w:i/>
          <w:smallCaps/>
        </w:rPr>
      </w:pPr>
      <w:r>
        <w:rPr>
          <w:b/>
        </w:rPr>
        <w:t>Le conflit d’intérêt s’entend</w:t>
      </w:r>
      <w: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pPr>
        <w:pStyle w:val="3"/>
        <w:widowControl w:val="0"/>
        <w:jc w:val="both"/>
        <w:rPr>
          <w:sz w:val="10"/>
          <w:szCs w:val="10"/>
        </w:rPr>
      </w:pPr>
    </w:p>
    <w:p>
      <w:pPr>
        <w:pStyle w:val="3"/>
        <w:widowControl w:val="0"/>
        <w:jc w:val="both"/>
        <w:rPr>
          <w:b/>
          <w:i/>
          <w:smallCaps/>
        </w:rPr>
      </w:pPr>
      <w:r>
        <w:t>13.5 Le cocontractant est tenu au secret professionnel vis-à-vis des tiers sur les informations, les renseignements et les documents recueillis ou portés à sa connaissance à l'occasion de l'exécution du marché.</w:t>
      </w:r>
    </w:p>
    <w:p>
      <w:pPr>
        <w:pStyle w:val="3"/>
        <w:widowControl w:val="0"/>
        <w:jc w:val="both"/>
        <w:rPr>
          <w:b/>
          <w:i/>
          <w:smallCaps/>
        </w:rPr>
      </w:pPr>
      <w:r>
        <w:t>A ce titre, les documents établis par le cocontractant au cours de l’exécution du marché ne peuvent être publiés ou communiqués qu’avec l’accord écrit du Maître d’Ouvrage.</w:t>
      </w:r>
    </w:p>
    <w:p>
      <w:pPr>
        <w:pStyle w:val="3"/>
        <w:widowControl w:val="0"/>
        <w:jc w:val="both"/>
        <w:rPr>
          <w:b/>
          <w:i/>
          <w:smallCaps/>
        </w:rPr>
      </w:pPr>
      <w:r>
        <w:t>Le cocontractant est tenu lors du dépôt du rapport final de restituer tous les documents empruntés au Maître d’Ouvrage.</w:t>
      </w:r>
    </w:p>
    <w:p>
      <w:pPr>
        <w:pStyle w:val="3"/>
        <w:widowControl w:val="0"/>
        <w:jc w:val="both"/>
        <w:rPr>
          <w:sz w:val="10"/>
          <w:szCs w:val="10"/>
        </w:rPr>
      </w:pPr>
    </w:p>
    <w:p>
      <w:pPr>
        <w:pStyle w:val="3"/>
        <w:widowControl w:val="0"/>
        <w:jc w:val="both"/>
        <w:rPr>
          <w:b/>
          <w:i/>
          <w:smallCaps/>
        </w:rPr>
      </w:pPr>
      <w: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pPr>
        <w:pStyle w:val="3"/>
        <w:widowControl w:val="0"/>
        <w:jc w:val="both"/>
        <w:rPr>
          <w:sz w:val="10"/>
          <w:szCs w:val="10"/>
        </w:rPr>
      </w:pPr>
    </w:p>
    <w:p>
      <w:pPr>
        <w:pStyle w:val="3"/>
        <w:widowControl w:val="0"/>
        <w:jc w:val="both"/>
        <w:rPr>
          <w:b/>
          <w:i/>
          <w:smallCaps/>
        </w:rPr>
      </w:pPr>
      <w:r>
        <w:t>Le cocontractant doit prendre en charge des frais professionnels et de la couverture de tous risques de maladie et d'accident dans le cadre de sa mission.</w:t>
      </w:r>
    </w:p>
    <w:p>
      <w:pPr>
        <w:pStyle w:val="3"/>
        <w:widowControl w:val="0"/>
        <w:jc w:val="both"/>
        <w:rPr>
          <w:sz w:val="10"/>
          <w:szCs w:val="10"/>
        </w:rPr>
      </w:pPr>
    </w:p>
    <w:p>
      <w:pPr>
        <w:pStyle w:val="3"/>
        <w:widowControl w:val="0"/>
        <w:jc w:val="both"/>
        <w:rPr>
          <w:b/>
          <w:i/>
          <w:smallCaps/>
        </w:rPr>
      </w:pPr>
      <w:r>
        <w:t>Le cocontractant ne peut pas modifier la composition de l’équipe proposée dans son offre technique sans l’accord écrit au Maître d’Ouvrage.</w:t>
      </w:r>
    </w:p>
    <w:p>
      <w:pPr>
        <w:pStyle w:val="3"/>
        <w:widowControl w:val="0"/>
        <w:jc w:val="both"/>
        <w:rPr>
          <w:b/>
          <w:i/>
          <w:smallCaps/>
        </w:rPr>
      </w:pPr>
      <w:r>
        <w:t>Pour les entreprises étrangères et à défaut de résider, le Cocontractant aura à maintenir en République du Cameroun pendant la période d’exécution du contrat, un représentant permanent dument mandaté.</w:t>
      </w:r>
    </w:p>
    <w:p>
      <w:pPr>
        <w:pStyle w:val="3"/>
        <w:widowControl w:val="0"/>
        <w:jc w:val="both"/>
        <w:rPr>
          <w:sz w:val="10"/>
          <w:szCs w:val="10"/>
        </w:rPr>
      </w:pPr>
    </w:p>
    <w:p>
      <w:pPr>
        <w:pStyle w:val="3"/>
        <w:keepNext/>
        <w:jc w:val="both"/>
        <w:rPr>
          <w:color w:val="000000"/>
        </w:rPr>
      </w:pPr>
      <w:bookmarkStart w:id="113" w:name="_3w19e94" w:colFirst="0" w:colLast="0"/>
      <w:bookmarkEnd w:id="113"/>
      <w:r>
        <w:rPr>
          <w:color w:val="000000"/>
        </w:rPr>
        <w:t xml:space="preserve">Article 14- Personnel et Matériel du cocontractant </w:t>
      </w:r>
    </w:p>
    <w:p>
      <w:pPr>
        <w:pStyle w:val="3"/>
        <w:keepNext/>
        <w:jc w:val="both"/>
        <w:rPr>
          <w:color w:val="000000"/>
        </w:rPr>
      </w:pPr>
    </w:p>
    <w:p>
      <w:pPr>
        <w:pStyle w:val="3"/>
        <w:widowControl w:val="0"/>
        <w:tabs>
          <w:tab w:val="left" w:pos="2410"/>
        </w:tabs>
        <w:jc w:val="both"/>
        <w:rPr>
          <w:b/>
          <w:i/>
          <w:smallCaps/>
        </w:rPr>
      </w:pPr>
      <w:r>
        <w:rPr>
          <w:b/>
        </w:rPr>
        <w:t>14.1.</w:t>
      </w:r>
      <w:r>
        <w:t xml:space="preserve"> </w:t>
      </w:r>
      <w:r>
        <w:rPr>
          <w:b/>
        </w:rPr>
        <w:t>Personnel de l’entreprise</w:t>
      </w:r>
    </w:p>
    <w:p>
      <w:pPr>
        <w:pStyle w:val="3"/>
        <w:widowControl w:val="0"/>
        <w:tabs>
          <w:tab w:val="left" w:pos="2410"/>
        </w:tabs>
        <w:jc w:val="both"/>
        <w:rPr>
          <w:b/>
          <w:i/>
          <w:smallCaps/>
        </w:rPr>
      </w:pPr>
      <w:bookmarkStart w:id="114" w:name="_1au1eum" w:colFirst="0" w:colLast="0"/>
      <w:bookmarkEnd w:id="114"/>
      <w:r>
        <w:t xml:space="preserve">L’entreprise est tenue d’utiliser le personnel proposé dans l’offre, dont l’équipe se compose comme suit : </w:t>
      </w:r>
    </w:p>
    <w:p>
      <w:pPr>
        <w:pStyle w:val="3"/>
        <w:widowControl w:val="0"/>
        <w:jc w:val="both"/>
        <w:rPr>
          <w:sz w:val="20"/>
          <w:szCs w:val="20"/>
        </w:rPr>
      </w:pPr>
      <w:r>
        <w:t>.</w:t>
      </w:r>
      <w:r>
        <w:tab/>
      </w:r>
      <w:r>
        <w:t xml:space="preserve">Personnel clé pour l’exécution des travaux :   </w:t>
      </w:r>
    </w:p>
    <w:p>
      <w:pPr>
        <w:pStyle w:val="3"/>
        <w:widowControl w:val="0"/>
        <w:jc w:val="both"/>
        <w:rPr>
          <w:sz w:val="20"/>
          <w:szCs w:val="20"/>
        </w:rPr>
      </w:pPr>
      <w:r>
        <w:tab/>
      </w:r>
      <w:r>
        <w:t xml:space="preserve">Chef de Projet </w:t>
      </w:r>
      <w:r>
        <w:rPr>
          <w:i/>
        </w:rPr>
        <w:t>:………..[indiquer le nom]………..</w:t>
      </w:r>
    </w:p>
    <w:p>
      <w:pPr>
        <w:pStyle w:val="3"/>
        <w:widowControl w:val="0"/>
        <w:ind w:firstLine="426"/>
        <w:jc w:val="both"/>
        <w:rPr>
          <w:sz w:val="20"/>
          <w:szCs w:val="20"/>
        </w:rPr>
      </w:pPr>
      <w:r>
        <w:t xml:space="preserve">     Conducteur des travaux     </w:t>
      </w:r>
      <w:r>
        <w:rPr>
          <w:i/>
        </w:rPr>
        <w:t>:………..[indiquer le nom]………..</w:t>
      </w:r>
    </w:p>
    <w:p>
      <w:pPr>
        <w:pStyle w:val="3"/>
        <w:widowControl w:val="0"/>
        <w:ind w:left="709" w:hanging="283"/>
        <w:jc w:val="both"/>
        <w:rPr>
          <w:sz w:val="20"/>
          <w:szCs w:val="20"/>
        </w:rPr>
      </w:pPr>
      <w:r>
        <w:t xml:space="preserve">     Autres personnels clés   </w:t>
      </w:r>
      <w:r>
        <w:rPr>
          <w:i/>
        </w:rPr>
        <w:t>:………..[indiquer les noms]………..</w:t>
      </w:r>
    </w:p>
    <w:p>
      <w:pPr>
        <w:pStyle w:val="3"/>
        <w:widowControl w:val="0"/>
        <w:jc w:val="both"/>
        <w:rPr>
          <w:sz w:val="10"/>
          <w:szCs w:val="10"/>
        </w:rPr>
      </w:pPr>
    </w:p>
    <w:p>
      <w:pPr>
        <w:pStyle w:val="3"/>
        <w:widowControl w:val="0"/>
        <w:tabs>
          <w:tab w:val="left" w:pos="2410"/>
        </w:tabs>
        <w:jc w:val="both"/>
        <w:rPr>
          <w:b/>
          <w:i/>
          <w:smallCaps/>
        </w:rPr>
      </w:pPr>
      <w:bookmarkStart w:id="115" w:name="_3utoxif" w:colFirst="0" w:colLast="0"/>
      <w:bookmarkEnd w:id="115"/>
      <w:r>
        <w:t>Indiquer par ailleurs le personnel à recruter dans le cas de l’approche HIMO le cas échéant, ainsi que le mode de leur rémunération.</w:t>
      </w:r>
    </w:p>
    <w:p>
      <w:pPr>
        <w:pStyle w:val="3"/>
        <w:widowControl w:val="0"/>
        <w:tabs>
          <w:tab w:val="left" w:pos="2410"/>
        </w:tabs>
        <w:jc w:val="both"/>
        <w:rPr>
          <w:sz w:val="10"/>
          <w:szCs w:val="10"/>
        </w:rPr>
      </w:pPr>
    </w:p>
    <w:p>
      <w:pPr>
        <w:pStyle w:val="3"/>
        <w:widowControl w:val="0"/>
        <w:tabs>
          <w:tab w:val="left" w:pos="2410"/>
        </w:tabs>
        <w:jc w:val="both"/>
        <w:rPr>
          <w:b/>
          <w:sz w:val="20"/>
          <w:szCs w:val="20"/>
        </w:rPr>
      </w:pPr>
      <w:r>
        <w:rPr>
          <w:b/>
        </w:rPr>
        <w:t>14.2. Remplacement du personnel clé</w:t>
      </w:r>
    </w:p>
    <w:p>
      <w:pPr>
        <w:pStyle w:val="3"/>
        <w:widowControl w:val="0"/>
        <w:tabs>
          <w:tab w:val="left" w:pos="2410"/>
        </w:tabs>
        <w:jc w:val="both"/>
        <w:rPr>
          <w:b/>
          <w:i/>
          <w:smallCaps/>
        </w:rPr>
      </w:pPr>
      <w:bookmarkStart w:id="116" w:name="_29yz7q8" w:colFirst="0" w:colLast="0"/>
      <w:bookmarkEnd w:id="116"/>
      <w: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pPr>
        <w:pStyle w:val="3"/>
        <w:widowControl w:val="0"/>
        <w:tabs>
          <w:tab w:val="left" w:pos="2410"/>
        </w:tabs>
        <w:jc w:val="both"/>
        <w:rPr>
          <w:sz w:val="10"/>
          <w:szCs w:val="10"/>
        </w:rPr>
      </w:pPr>
    </w:p>
    <w:p>
      <w:pPr>
        <w:pStyle w:val="3"/>
        <w:widowControl w:val="0"/>
        <w:ind w:right="94"/>
        <w:jc w:val="both"/>
        <w:rPr>
          <w:color w:val="FF0000"/>
          <w:sz w:val="20"/>
          <w:szCs w:val="20"/>
        </w:rPr>
      </w:pPr>
      <w:bookmarkStart w:id="117" w:name="_p49hy1" w:colFirst="0" w:colLast="0"/>
      <w:bookmarkEnd w:id="117"/>
      <w:r>
        <w:t>En tout état de cause, les listes du personnel d’encadrement à mettre en place seront préalablement soumises à l’agrément écrit de l’ingénieur le cas échéant dans les 15 jours qui suivent la notification de l’ordre de service de commencer les travaux. Passé ce délai, les listes seront considérées comme approuvées.</w:t>
      </w:r>
      <w:r>
        <w:rPr>
          <w:color w:val="FF0000"/>
        </w:rPr>
        <w:t xml:space="preserve"> </w:t>
      </w:r>
    </w:p>
    <w:p>
      <w:pPr>
        <w:pStyle w:val="3"/>
        <w:widowControl w:val="0"/>
        <w:tabs>
          <w:tab w:val="left" w:pos="2410"/>
        </w:tabs>
        <w:jc w:val="both"/>
        <w:rPr>
          <w:b/>
          <w:i/>
          <w:smallCaps/>
        </w:rPr>
      </w:pPr>
      <w:r>
        <w:t xml:space="preserve">L’ingénieur le cas échéant disposera de 15 jours  pour notifier par écrit son avis au Chef de service du Marché. Le Maître d’Ouvrage se réserve la possibilité de refuser son agrément à une personne proposée par le cocontractant, dont la qualification serait insuffisante. </w:t>
      </w:r>
    </w:p>
    <w:p>
      <w:pPr>
        <w:pStyle w:val="3"/>
        <w:widowControl w:val="0"/>
        <w:tabs>
          <w:tab w:val="left" w:pos="2410"/>
        </w:tabs>
        <w:jc w:val="both"/>
        <w:rPr>
          <w:sz w:val="10"/>
          <w:szCs w:val="10"/>
        </w:rPr>
      </w:pPr>
    </w:p>
    <w:p>
      <w:pPr>
        <w:pStyle w:val="3"/>
        <w:widowControl w:val="0"/>
        <w:tabs>
          <w:tab w:val="left" w:pos="2410"/>
        </w:tabs>
        <w:jc w:val="both"/>
        <w:rPr>
          <w:b/>
          <w:i/>
          <w:smallCaps/>
        </w:rPr>
      </w:pPr>
      <w: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pPr>
        <w:pStyle w:val="3"/>
        <w:widowControl w:val="0"/>
        <w:tabs>
          <w:tab w:val="left" w:pos="2410"/>
        </w:tabs>
        <w:jc w:val="both"/>
        <w:rPr>
          <w:b/>
          <w:i/>
          <w:smallCaps/>
        </w:rPr>
      </w:pPr>
      <w:r>
        <w:t>Toute modification apportée sera notifiée au Maître d’Ouvrage pour approbation préalable.</w:t>
      </w:r>
    </w:p>
    <w:p>
      <w:pPr>
        <w:pStyle w:val="3"/>
        <w:widowControl w:val="0"/>
        <w:tabs>
          <w:tab w:val="left" w:pos="2410"/>
        </w:tabs>
        <w:jc w:val="both"/>
        <w:rPr>
          <w:sz w:val="10"/>
          <w:szCs w:val="10"/>
        </w:rPr>
      </w:pPr>
    </w:p>
    <w:p>
      <w:pPr>
        <w:pStyle w:val="3"/>
        <w:widowControl w:val="0"/>
        <w:tabs>
          <w:tab w:val="left" w:pos="2410"/>
        </w:tabs>
        <w:jc w:val="both"/>
        <w:rPr>
          <w:b/>
          <w:sz w:val="20"/>
          <w:szCs w:val="20"/>
        </w:rPr>
      </w:pPr>
      <w:r>
        <w:rPr>
          <w:b/>
        </w:rPr>
        <w:t>14.3. Retrait du personnel (le cas échéant)</w:t>
      </w:r>
    </w:p>
    <w:p>
      <w:pPr>
        <w:pStyle w:val="3"/>
        <w:jc w:val="both"/>
        <w:rPr>
          <w:sz w:val="20"/>
          <w:szCs w:val="20"/>
        </w:rPr>
      </w:pPr>
      <w:r>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pPr>
        <w:pStyle w:val="3"/>
        <w:jc w:val="both"/>
        <w:rPr>
          <w:sz w:val="10"/>
          <w:szCs w:val="10"/>
        </w:rPr>
      </w:pPr>
    </w:p>
    <w:p>
      <w:pPr>
        <w:pStyle w:val="3"/>
        <w:jc w:val="both"/>
        <w:rPr>
          <w:b/>
          <w:sz w:val="20"/>
          <w:szCs w:val="20"/>
        </w:rPr>
      </w:pPr>
      <w:r>
        <w:rPr>
          <w:b/>
        </w:rPr>
        <w:t>14.4 Représentant du cocontractant</w:t>
      </w:r>
    </w:p>
    <w:p>
      <w:pPr>
        <w:pStyle w:val="3"/>
        <w:jc w:val="both"/>
        <w:rPr>
          <w:b/>
          <w:i/>
          <w:smallCaps/>
        </w:rPr>
      </w:pPr>
      <w:r>
        <w:t>Dès notification du marché, le cocontractant désigne une personne physique, qui le représente vis-à-vis de l’Administration pour tout ce qui concerne l’exécution du projet.</w:t>
      </w:r>
    </w:p>
    <w:p>
      <w:pPr>
        <w:pStyle w:val="3"/>
        <w:jc w:val="both"/>
        <w:rPr>
          <w:b/>
          <w:i/>
          <w:smallCaps/>
        </w:rPr>
      </w:pPr>
      <w:r>
        <w:t>Cette personne chargée de la conduite des travaux, doit disposer de pouvoirs suffisants pour prendre sans délai les décisions nécessaires à la bonne marche du projet.</w:t>
      </w:r>
    </w:p>
    <w:p>
      <w:pPr>
        <w:pStyle w:val="3"/>
        <w:jc w:val="both"/>
        <w:rPr>
          <w:b/>
          <w:sz w:val="10"/>
          <w:szCs w:val="10"/>
        </w:rPr>
      </w:pPr>
    </w:p>
    <w:p>
      <w:pPr>
        <w:pStyle w:val="3"/>
        <w:jc w:val="both"/>
        <w:rPr>
          <w:b/>
          <w:sz w:val="20"/>
          <w:szCs w:val="20"/>
        </w:rPr>
      </w:pPr>
      <w:r>
        <w:rPr>
          <w:b/>
        </w:rPr>
        <w:t>14.5. Législation du travail</w:t>
      </w:r>
    </w:p>
    <w:p>
      <w:pPr>
        <w:pStyle w:val="3"/>
        <w:jc w:val="both"/>
        <w:rPr>
          <w:color w:val="ED7D31"/>
          <w:sz w:val="20"/>
          <w:szCs w:val="20"/>
        </w:rPr>
      </w:pPr>
      <w:r>
        <w:t>Le Cocontractant devra se conformer à la législation du travail en vigueur au Cameroun incluant la législation relative à l’embauche, la santé, la sécurité, la protection sociale, à l’HIMO, au quota de ressources locales à mobiliser</w:t>
      </w:r>
      <w:r>
        <w:rPr>
          <w:color w:val="ED7D31"/>
        </w:rPr>
        <w:t xml:space="preserve">. </w:t>
      </w:r>
    </w:p>
    <w:p>
      <w:pPr>
        <w:pStyle w:val="3"/>
        <w:jc w:val="both"/>
        <w:rPr>
          <w:b/>
          <w:i/>
          <w:smallCaps/>
        </w:rPr>
      </w:pPr>
      <w: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pPr>
        <w:pStyle w:val="3"/>
        <w:jc w:val="both"/>
        <w:rPr>
          <w:b/>
          <w:i/>
          <w:smallCaps/>
        </w:rPr>
      </w:pPr>
      <w: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pPr>
        <w:pStyle w:val="3"/>
        <w:jc w:val="both"/>
        <w:rPr>
          <w:sz w:val="10"/>
          <w:szCs w:val="10"/>
        </w:rPr>
      </w:pPr>
    </w:p>
    <w:p>
      <w:pPr>
        <w:pStyle w:val="3"/>
        <w:jc w:val="both"/>
        <w:rPr>
          <w:b/>
          <w:i/>
          <w:smallCaps/>
        </w:rPr>
      </w:pPr>
      <w:r>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w:t>
      </w:r>
      <w:r>
        <w:rPr>
          <w:i/>
        </w:rPr>
        <w:t xml:space="preserve"> </w:t>
      </w:r>
      <w:r>
        <w:t>à cet effet (si un tel consentement est requis), le Maître d’ouvrage ne devra pas lui refuser ce consentement sans motif valable.</w:t>
      </w:r>
    </w:p>
    <w:p>
      <w:pPr>
        <w:pStyle w:val="3"/>
        <w:jc w:val="both"/>
        <w:rPr>
          <w:sz w:val="10"/>
          <w:szCs w:val="10"/>
        </w:rPr>
      </w:pPr>
    </w:p>
    <w:p>
      <w:pPr>
        <w:pStyle w:val="3"/>
        <w:jc w:val="both"/>
        <w:rPr>
          <w:b/>
          <w:i/>
          <w:smallCaps/>
        </w:rPr>
      </w:pPr>
      <w: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pPr>
        <w:pStyle w:val="3"/>
        <w:jc w:val="both"/>
        <w:rPr>
          <w:sz w:val="10"/>
          <w:szCs w:val="10"/>
        </w:rPr>
      </w:pPr>
    </w:p>
    <w:p>
      <w:pPr>
        <w:pStyle w:val="3"/>
        <w:jc w:val="both"/>
        <w:rPr>
          <w:b/>
          <w:i/>
          <w:smallCaps/>
        </w:rPr>
      </w:pPr>
      <w:bookmarkStart w:id="118" w:name="_393x0lu" w:colFirst="0" w:colLast="0"/>
      <w:bookmarkEnd w:id="118"/>
      <w: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pPr>
        <w:pStyle w:val="3"/>
        <w:jc w:val="both"/>
        <w:rPr>
          <w:sz w:val="10"/>
          <w:szCs w:val="10"/>
        </w:rPr>
      </w:pPr>
    </w:p>
    <w:p>
      <w:pPr>
        <w:pStyle w:val="3"/>
        <w:widowControl w:val="0"/>
        <w:tabs>
          <w:tab w:val="left" w:pos="2410"/>
        </w:tabs>
        <w:jc w:val="both"/>
        <w:rPr>
          <w:b/>
          <w:sz w:val="20"/>
          <w:szCs w:val="20"/>
        </w:rPr>
      </w:pPr>
      <w:r>
        <w:rPr>
          <w:b/>
        </w:rPr>
        <w:t>14.6. Matériel proposé dans l’offre</w:t>
      </w:r>
    </w:p>
    <w:p>
      <w:pPr>
        <w:pStyle w:val="3"/>
        <w:jc w:val="both"/>
        <w:rPr>
          <w:b/>
          <w:i/>
          <w:smallCaps/>
        </w:rPr>
      </w:pPr>
      <w:bookmarkStart w:id="119" w:name="_1o97atn" w:colFirst="0" w:colLast="0"/>
      <w:bookmarkEnd w:id="119"/>
      <w:r>
        <w:t>Le cocontractant utilisera le matériel approprié de niveau comparable aux prescriptions du DAO, dans le projet d’exécution pour la bonne exécution des prestations selon les règles de l’art.</w:t>
      </w:r>
    </w:p>
    <w:p>
      <w:pPr>
        <w:pStyle w:val="3"/>
        <w:jc w:val="both"/>
        <w:rPr>
          <w:b/>
          <w:i/>
          <w:smallCaps/>
        </w:rPr>
      </w:pPr>
      <w:r>
        <w:t>Toute modification apportée sera notifiée au Maître d’Ouvrage ou au Maître d’Ouvrage Délégué pour approbation préalable.</w:t>
      </w:r>
    </w:p>
    <w:p>
      <w:pPr>
        <w:pStyle w:val="3"/>
        <w:jc w:val="both"/>
        <w:rPr>
          <w:sz w:val="10"/>
          <w:szCs w:val="10"/>
        </w:rPr>
      </w:pPr>
    </w:p>
    <w:p>
      <w:pPr>
        <w:pStyle w:val="3"/>
        <w:keepNext/>
        <w:jc w:val="both"/>
        <w:rPr>
          <w:color w:val="000000"/>
        </w:rPr>
      </w:pPr>
      <w:bookmarkStart w:id="120" w:name="_488uthg" w:colFirst="0" w:colLast="0"/>
      <w:bookmarkEnd w:id="120"/>
      <w:r>
        <w:rPr>
          <w:color w:val="000000"/>
        </w:rPr>
        <w:t>Article 16- Pièces à fournir par le cocontractant</w:t>
      </w:r>
    </w:p>
    <w:p>
      <w:pPr>
        <w:pStyle w:val="3"/>
        <w:widowControl w:val="0"/>
        <w:jc w:val="both"/>
        <w:rPr>
          <w:b/>
          <w:sz w:val="20"/>
          <w:szCs w:val="20"/>
        </w:rPr>
      </w:pPr>
      <w:r>
        <w:rPr>
          <w:b/>
        </w:rPr>
        <w:t xml:space="preserve">16.1. Programme des travaux, Plan d’assurance qualité et autres </w:t>
      </w:r>
      <w:r>
        <w:rPr>
          <w:b/>
          <w:i/>
        </w:rPr>
        <w:t>[A préciser]</w:t>
      </w:r>
    </w:p>
    <w:p>
      <w:pPr>
        <w:pStyle w:val="3"/>
        <w:widowControl w:val="0"/>
        <w:jc w:val="both"/>
        <w:rPr>
          <w:b/>
          <w:i/>
          <w:smallCaps/>
        </w:rPr>
      </w:pPr>
      <w:r>
        <w:t xml:space="preserve">a) Dans un délai maximum de </w:t>
      </w:r>
      <w:r>
        <w:rPr>
          <w:i/>
        </w:rPr>
        <w:t xml:space="preserve">21 jours </w:t>
      </w:r>
      <w:r>
        <w:t xml:space="preserve">à compter de la notification de l’ordre de service de commencer les travaux, Le cocontractant de l’administration soumettra, en </w:t>
      </w:r>
      <w:r>
        <w:rPr>
          <w:i/>
        </w:rPr>
        <w:t xml:space="preserve">cinq (05)  </w:t>
      </w:r>
      <w:r>
        <w:t xml:space="preserve">exemplaires, à l'approbation </w:t>
      </w:r>
      <w:r>
        <w:rPr>
          <w:i/>
        </w:rPr>
        <w:t xml:space="preserve">du Chef de service après avis   de l’Ingénieur </w:t>
      </w:r>
      <w:r>
        <w:t>le programme d'exécution des travaux, son calendrier d’approvisionnement, son projet de Plan d’Assurance Qualité (PAQ) et son Plan de Gestion Environnementale.</w:t>
      </w:r>
    </w:p>
    <w:p>
      <w:pPr>
        <w:pStyle w:val="3"/>
        <w:widowControl w:val="0"/>
        <w:jc w:val="both"/>
        <w:rPr>
          <w:sz w:val="10"/>
          <w:szCs w:val="10"/>
        </w:rPr>
      </w:pPr>
    </w:p>
    <w:p>
      <w:pPr>
        <w:pStyle w:val="3"/>
        <w:widowControl w:val="0"/>
        <w:jc w:val="both"/>
        <w:rPr>
          <w:b/>
          <w:i/>
          <w:smallCaps/>
        </w:rPr>
      </w:pPr>
      <w:r>
        <w:t xml:space="preserve">Ce programme sera exclusivement présenté selon les modèles fournis et comprenant notamment, </w:t>
      </w:r>
    </w:p>
    <w:p>
      <w:pPr>
        <w:pStyle w:val="3"/>
        <w:widowControl w:val="0"/>
        <w:numPr>
          <w:ilvl w:val="0"/>
          <w:numId w:val="21"/>
        </w:numPr>
        <w:ind w:left="567" w:hanging="283"/>
        <w:jc w:val="both"/>
        <w:rPr>
          <w:i/>
          <w:smallCaps/>
        </w:rPr>
      </w:pPr>
      <w:r>
        <w:t>Le PV de définition des tâches à exécuter, le cas échéant ;</w:t>
      </w:r>
    </w:p>
    <w:p>
      <w:pPr>
        <w:pStyle w:val="3"/>
        <w:widowControl w:val="0"/>
        <w:numPr>
          <w:ilvl w:val="0"/>
          <w:numId w:val="21"/>
        </w:numPr>
        <w:ind w:left="567" w:hanging="283"/>
        <w:jc w:val="both"/>
        <w:rPr>
          <w:i/>
          <w:smallCaps/>
        </w:rPr>
      </w:pPr>
      <w:r>
        <w:t>La liste des travaux à sous-traiter ;</w:t>
      </w:r>
    </w:p>
    <w:p>
      <w:pPr>
        <w:pStyle w:val="3"/>
        <w:widowControl w:val="0"/>
        <w:numPr>
          <w:ilvl w:val="0"/>
          <w:numId w:val="21"/>
        </w:numPr>
        <w:ind w:left="567" w:hanging="283"/>
        <w:jc w:val="both"/>
        <w:rPr>
          <w:i/>
          <w:smallCaps/>
        </w:rPr>
      </w:pPr>
      <w:r>
        <w:t>La description des modalités de maintien de la circulation le cas échéant</w:t>
      </w:r>
    </w:p>
    <w:p>
      <w:pPr>
        <w:pStyle w:val="3"/>
        <w:widowControl w:val="0"/>
        <w:numPr>
          <w:ilvl w:val="0"/>
          <w:numId w:val="21"/>
        </w:numPr>
        <w:ind w:left="567" w:hanging="283"/>
        <w:jc w:val="both"/>
        <w:rPr>
          <w:i/>
          <w:smallCaps/>
        </w:rPr>
      </w:pPr>
      <w:r>
        <w:t>Etc.</w:t>
      </w:r>
    </w:p>
    <w:p>
      <w:pPr>
        <w:pStyle w:val="3"/>
        <w:widowControl w:val="0"/>
        <w:jc w:val="both"/>
        <w:rPr>
          <w:b/>
          <w:i/>
          <w:smallCaps/>
        </w:rPr>
      </w:pPr>
      <w:r>
        <w:t xml:space="preserve">Deux (2) exemplaires de ces pièces lui seront retournés dans un délai de </w:t>
      </w:r>
      <w:r>
        <w:rPr>
          <w:i/>
        </w:rPr>
        <w:t xml:space="preserve">03 jours </w:t>
      </w:r>
      <w:r>
        <w:t>à partir de leur réception avec :</w:t>
      </w:r>
    </w:p>
    <w:p>
      <w:pPr>
        <w:pStyle w:val="3"/>
        <w:widowControl w:val="0"/>
        <w:numPr>
          <w:ilvl w:val="0"/>
          <w:numId w:val="21"/>
        </w:numPr>
        <w:ind w:left="567" w:hanging="283"/>
        <w:jc w:val="both"/>
        <w:rPr>
          <w:i/>
          <w:smallCaps/>
        </w:rPr>
      </w:pPr>
      <w:r>
        <w:t>Soit la mention d'approbation “ BON POUR EXECUTION” ;</w:t>
      </w:r>
    </w:p>
    <w:p>
      <w:pPr>
        <w:pStyle w:val="3"/>
        <w:widowControl w:val="0"/>
        <w:numPr>
          <w:ilvl w:val="0"/>
          <w:numId w:val="21"/>
        </w:numPr>
        <w:ind w:left="567" w:hanging="283"/>
        <w:jc w:val="both"/>
        <w:rPr>
          <w:i/>
          <w:smallCaps/>
        </w:rPr>
      </w:pPr>
      <w:r>
        <w:t>Soit la mention de leur rejet accompagnée des motifs dudit rejet.</w:t>
      </w:r>
    </w:p>
    <w:p>
      <w:pPr>
        <w:pStyle w:val="3"/>
        <w:widowControl w:val="0"/>
        <w:ind w:left="567"/>
        <w:jc w:val="both"/>
        <w:rPr>
          <w:sz w:val="10"/>
          <w:szCs w:val="10"/>
        </w:rPr>
      </w:pPr>
    </w:p>
    <w:p>
      <w:pPr>
        <w:pStyle w:val="3"/>
        <w:jc w:val="both"/>
        <w:rPr>
          <w:b/>
          <w:i/>
          <w:smallCaps/>
        </w:rPr>
      </w:pPr>
      <w:r>
        <w:t xml:space="preserve">Le cocontractant de l’administration disposera alors de </w:t>
      </w:r>
      <w:r>
        <w:rPr>
          <w:i/>
        </w:rPr>
        <w:t xml:space="preserve">03 jours </w:t>
      </w:r>
      <w:r>
        <w:t xml:space="preserve">pour présenter un nouveau projet. Le Chef de Service  disposera alors d’un délai de </w:t>
      </w:r>
      <w:r>
        <w:rPr>
          <w:i/>
        </w:rPr>
        <w:t xml:space="preserve">03 jours </w:t>
      </w:r>
      <w:r>
        <w:t>pour donner son approbation ou faire d’éventuelles remarques</w:t>
      </w:r>
      <w:r>
        <w:rPr>
          <w:strike/>
        </w:rPr>
        <w:t>.</w:t>
      </w:r>
      <w:r>
        <w:t xml:space="preserve"> Les délais d’approbation du projet d’exécution sont suspensifs du délai d’exécution.</w:t>
      </w:r>
    </w:p>
    <w:p>
      <w:pPr>
        <w:pStyle w:val="3"/>
        <w:jc w:val="both"/>
        <w:rPr>
          <w:sz w:val="10"/>
          <w:szCs w:val="10"/>
        </w:rPr>
      </w:pPr>
    </w:p>
    <w:p>
      <w:pPr>
        <w:pStyle w:val="3"/>
        <w:jc w:val="both"/>
        <w:rPr>
          <w:b/>
          <w:i/>
          <w:smallCaps/>
        </w:rPr>
      </w:pPr>
      <w: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pPr>
        <w:pStyle w:val="3"/>
        <w:jc w:val="both"/>
        <w:rPr>
          <w:sz w:val="10"/>
          <w:szCs w:val="10"/>
        </w:rPr>
      </w:pPr>
      <w:r>
        <w:t xml:space="preserve"> </w:t>
      </w:r>
    </w:p>
    <w:p>
      <w:pPr>
        <w:pStyle w:val="3"/>
        <w:jc w:val="both"/>
        <w:rPr>
          <w:b/>
          <w:i/>
          <w:smallCaps/>
        </w:rPr>
      </w:pPr>
      <w: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rPr>
        <w:t xml:space="preserve">[A préciser] </w:t>
      </w:r>
      <w: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pPr>
        <w:pStyle w:val="3"/>
        <w:jc w:val="both"/>
        <w:rPr>
          <w:sz w:val="10"/>
          <w:szCs w:val="10"/>
        </w:rPr>
      </w:pPr>
    </w:p>
    <w:p>
      <w:pPr>
        <w:pStyle w:val="3"/>
        <w:widowControl w:val="0"/>
        <w:jc w:val="both"/>
        <w:rPr>
          <w:b/>
          <w:i/>
          <w:smallCaps/>
        </w:rPr>
      </w:pPr>
      <w:r>
        <w:t>b. Le Plan de Gestion Environnemental et Social fera ressortir notamment les conditions de choix des sites techniques et de base vie, les conditions d’emprunt de sites d’extraction et les conditions de remise en état des sites de travaux et d’installation.</w:t>
      </w:r>
    </w:p>
    <w:p>
      <w:pPr>
        <w:pStyle w:val="3"/>
        <w:widowControl w:val="0"/>
        <w:jc w:val="both"/>
        <w:rPr>
          <w:sz w:val="10"/>
          <w:szCs w:val="10"/>
        </w:rPr>
      </w:pPr>
    </w:p>
    <w:p>
      <w:pPr>
        <w:pStyle w:val="3"/>
        <w:jc w:val="both"/>
        <w:rPr>
          <w:b/>
          <w:i/>
          <w:smallCaps/>
        </w:rPr>
      </w:pPr>
      <w:r>
        <w:t>c. Le cocontractant indiquera dans ce programme les matériels et méthodes qu’il compte utiliser ainsi que les effectifs du personnel qu’il compte employer.</w:t>
      </w:r>
    </w:p>
    <w:p>
      <w:pPr>
        <w:pStyle w:val="3"/>
        <w:widowControl w:val="0"/>
        <w:jc w:val="both"/>
        <w:rPr>
          <w:b/>
          <w:sz w:val="10"/>
          <w:szCs w:val="10"/>
        </w:rPr>
      </w:pPr>
    </w:p>
    <w:p>
      <w:pPr>
        <w:pStyle w:val="3"/>
        <w:widowControl w:val="0"/>
        <w:jc w:val="both"/>
        <w:rPr>
          <w:b/>
          <w:sz w:val="20"/>
          <w:szCs w:val="20"/>
        </w:rPr>
      </w:pPr>
      <w:r>
        <w:rPr>
          <w:b/>
        </w:rPr>
        <w:t>16.2. Projet d’exécution</w:t>
      </w:r>
    </w:p>
    <w:p>
      <w:pPr>
        <w:pStyle w:val="3"/>
        <w:jc w:val="both"/>
        <w:rPr>
          <w:b/>
          <w:i/>
          <w:smallCaps/>
        </w:rPr>
      </w:pPr>
      <w:r>
        <w:t>a. dans un délai maximum de 21 jours, à compter de la date de notification de l’ordre de service de commencer les travaux, le Cocontractant soumettra à l’approbation de l’Ingénieur, un projet d’exécution en 05 exemplaires comprenant notamment :</w:t>
      </w:r>
    </w:p>
    <w:p>
      <w:pPr>
        <w:pStyle w:val="3"/>
        <w:widowControl w:val="0"/>
        <w:numPr>
          <w:ilvl w:val="0"/>
          <w:numId w:val="21"/>
        </w:numPr>
        <w:ind w:left="567" w:hanging="283"/>
        <w:jc w:val="both"/>
        <w:rPr>
          <w:i/>
          <w:smallCaps/>
        </w:rPr>
      </w:pPr>
      <w:r>
        <w:t>le procès-verbal de définition des tâches à exécuter ;</w:t>
      </w:r>
    </w:p>
    <w:p>
      <w:pPr>
        <w:pStyle w:val="3"/>
        <w:widowControl w:val="0"/>
        <w:numPr>
          <w:ilvl w:val="0"/>
          <w:numId w:val="21"/>
        </w:numPr>
        <w:ind w:left="567" w:hanging="283"/>
        <w:jc w:val="both"/>
        <w:rPr>
          <w:i/>
          <w:smallCaps/>
        </w:rPr>
      </w:pPr>
      <w:r>
        <w:t>le relevé des dégradations le cas échéant ;</w:t>
      </w:r>
    </w:p>
    <w:p>
      <w:pPr>
        <w:pStyle w:val="3"/>
        <w:widowControl w:val="0"/>
        <w:numPr>
          <w:ilvl w:val="0"/>
          <w:numId w:val="21"/>
        </w:numPr>
        <w:ind w:left="567" w:hanging="283"/>
        <w:jc w:val="both"/>
        <w:rPr>
          <w:i/>
          <w:smallCaps/>
        </w:rPr>
      </w:pPr>
      <w:r>
        <w:t>le schéma itinéraire ou le linéaire des travaux à exécuter, le cas échéant ;</w:t>
      </w:r>
    </w:p>
    <w:p>
      <w:pPr>
        <w:pStyle w:val="3"/>
        <w:widowControl w:val="0"/>
        <w:numPr>
          <w:ilvl w:val="0"/>
          <w:numId w:val="21"/>
        </w:numPr>
        <w:ind w:left="567" w:hanging="283"/>
        <w:jc w:val="both"/>
        <w:rPr>
          <w:i/>
          <w:smallCaps/>
        </w:rPr>
      </w:pPr>
      <w:r>
        <w:t>la description des procédés et des méthodes d’exécution des travaux envisagés avec les prévisions d’emploi du personnel, du matériel et des matériaux ;</w:t>
      </w:r>
    </w:p>
    <w:p>
      <w:pPr>
        <w:pStyle w:val="3"/>
        <w:widowControl w:val="0"/>
        <w:numPr>
          <w:ilvl w:val="0"/>
          <w:numId w:val="21"/>
        </w:numPr>
        <w:ind w:left="567" w:hanging="283"/>
        <w:jc w:val="both"/>
        <w:rPr>
          <w:i/>
          <w:smallCaps/>
        </w:rPr>
      </w:pPr>
      <w:r>
        <w:t>les plans d’exécution des ouvrages et les notes de calcul y afférentes ;</w:t>
      </w:r>
    </w:p>
    <w:p>
      <w:pPr>
        <w:pStyle w:val="3"/>
        <w:widowControl w:val="0"/>
        <w:numPr>
          <w:ilvl w:val="0"/>
          <w:numId w:val="21"/>
        </w:numPr>
        <w:ind w:left="567" w:hanging="283"/>
        <w:jc w:val="both"/>
        <w:rPr>
          <w:i/>
          <w:smallCaps/>
        </w:rPr>
      </w:pPr>
      <w:r>
        <w:t>les plans d’approvisionnement.</w:t>
      </w:r>
    </w:p>
    <w:p>
      <w:pPr>
        <w:pStyle w:val="3"/>
        <w:widowControl w:val="0"/>
        <w:numPr>
          <w:ilvl w:val="0"/>
          <w:numId w:val="21"/>
        </w:numPr>
        <w:ind w:left="567" w:hanging="283"/>
        <w:jc w:val="both"/>
        <w:rPr>
          <w:i/>
          <w:smallCaps/>
        </w:rPr>
      </w:pPr>
      <w:r>
        <w:t>le planning graphique des travaux ;</w:t>
      </w:r>
    </w:p>
    <w:p>
      <w:pPr>
        <w:pStyle w:val="3"/>
        <w:widowControl w:val="0"/>
        <w:numPr>
          <w:ilvl w:val="0"/>
          <w:numId w:val="21"/>
        </w:numPr>
        <w:ind w:left="567" w:hanging="283"/>
        <w:jc w:val="both"/>
        <w:rPr>
          <w:i/>
          <w:smallCaps/>
        </w:rPr>
      </w:pPr>
      <w:r>
        <w:t xml:space="preserve">la liste des travaux que le cocontractant fera le cas échéant, exécuter par des sous-traitants.  </w:t>
      </w:r>
    </w:p>
    <w:p>
      <w:pPr>
        <w:pStyle w:val="3"/>
        <w:widowControl w:val="0"/>
        <w:ind w:left="567"/>
        <w:jc w:val="both"/>
        <w:rPr>
          <w:sz w:val="10"/>
          <w:szCs w:val="10"/>
        </w:rPr>
      </w:pPr>
    </w:p>
    <w:p>
      <w:pPr>
        <w:pStyle w:val="3"/>
        <w:widowControl w:val="0"/>
        <w:tabs>
          <w:tab w:val="left" w:pos="426"/>
        </w:tabs>
        <w:jc w:val="both"/>
        <w:rPr>
          <w:sz w:val="20"/>
          <w:szCs w:val="20"/>
        </w:rPr>
      </w:pPr>
      <w: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pPr>
        <w:pStyle w:val="3"/>
        <w:widowControl w:val="0"/>
        <w:tabs>
          <w:tab w:val="left" w:pos="426"/>
        </w:tabs>
        <w:jc w:val="both"/>
        <w:rPr>
          <w:sz w:val="20"/>
          <w:szCs w:val="20"/>
        </w:rPr>
      </w:pPr>
      <w:r>
        <w:t xml:space="preserve">En cas d’inobservation des délais d’approbation des documents ci-dessus par l’Administration, ceux-ci sont réputés approuvés. </w:t>
      </w:r>
    </w:p>
    <w:p>
      <w:pPr>
        <w:pStyle w:val="3"/>
        <w:widowControl w:val="0"/>
        <w:tabs>
          <w:tab w:val="left" w:pos="426"/>
        </w:tabs>
        <w:jc w:val="both"/>
        <w:rPr>
          <w:sz w:val="10"/>
          <w:szCs w:val="10"/>
        </w:rPr>
      </w:pPr>
    </w:p>
    <w:p>
      <w:pPr>
        <w:pStyle w:val="3"/>
        <w:keepNext/>
        <w:jc w:val="both"/>
        <w:rPr>
          <w:color w:val="000000"/>
        </w:rPr>
      </w:pPr>
      <w:bookmarkStart w:id="121" w:name="_2ne53p9" w:colFirst="0" w:colLast="0"/>
      <w:bookmarkEnd w:id="121"/>
      <w:r>
        <w:rPr>
          <w:color w:val="000000"/>
        </w:rPr>
        <w:t>Article 17- Mise à disposition des documents et du site</w:t>
      </w:r>
    </w:p>
    <w:p>
      <w:pPr>
        <w:pStyle w:val="3"/>
        <w:widowControl w:val="0"/>
        <w:jc w:val="both"/>
        <w:rPr>
          <w:sz w:val="20"/>
          <w:szCs w:val="20"/>
        </w:rPr>
      </w:pPr>
      <w:r>
        <w:t>Le Maître d'Ouvrage mettra le site des travaux et ses voies d'accès à la disposition du Cocontractant en temps utile et au fur et à mesure de l'avancement des travaux, conformément au programme d'exécution.</w:t>
      </w:r>
    </w:p>
    <w:p>
      <w:pPr>
        <w:pStyle w:val="3"/>
        <w:widowControl w:val="0"/>
        <w:jc w:val="both"/>
        <w:rPr>
          <w:i/>
          <w:sz w:val="20"/>
          <w:szCs w:val="20"/>
        </w:rPr>
      </w:pPr>
      <w:r>
        <w:t xml:space="preserve">L’exemplaire reproductible des plans figurant dans le Dossier d’Appel d’Offres sera remis par : </w:t>
      </w:r>
      <w:r>
        <w:rPr>
          <w:i/>
        </w:rPr>
        <w:t xml:space="preserve">le Chef de service </w:t>
      </w:r>
    </w:p>
    <w:p>
      <w:pPr>
        <w:pStyle w:val="3"/>
        <w:widowControl w:val="0"/>
        <w:jc w:val="both"/>
        <w:rPr>
          <w:sz w:val="10"/>
          <w:szCs w:val="10"/>
        </w:rPr>
      </w:pPr>
    </w:p>
    <w:p>
      <w:pPr>
        <w:pStyle w:val="3"/>
        <w:keepNext/>
        <w:jc w:val="both"/>
        <w:rPr>
          <w:color w:val="000000"/>
        </w:rPr>
      </w:pPr>
      <w:bookmarkStart w:id="122" w:name="_12jfdx2" w:colFirst="0" w:colLast="0"/>
      <w:bookmarkEnd w:id="122"/>
      <w:r>
        <w:rPr>
          <w:color w:val="000000"/>
        </w:rPr>
        <w:t>Article 18- transport, Assurances des ouvrages et responsabilités civiles</w:t>
      </w:r>
    </w:p>
    <w:p>
      <w:pPr>
        <w:pStyle w:val="3"/>
        <w:widowControl w:val="0"/>
        <w:jc w:val="both"/>
        <w:rPr>
          <w:b/>
          <w:sz w:val="20"/>
          <w:szCs w:val="20"/>
        </w:rPr>
      </w:pPr>
      <w:bookmarkStart w:id="123" w:name="_3mj2wkv" w:colFirst="0" w:colLast="0"/>
      <w:bookmarkEnd w:id="123"/>
      <w:r>
        <w:rPr>
          <w:b/>
        </w:rPr>
        <w:t xml:space="preserve">18.1. Emballage pour le transport des équipements et matériaux </w:t>
      </w:r>
    </w:p>
    <w:p>
      <w:pPr>
        <w:pStyle w:val="3"/>
        <w:widowControl w:val="0"/>
        <w:jc w:val="both"/>
        <w:rPr>
          <w:b/>
          <w:i/>
          <w:smallCaps/>
        </w:rPr>
      </w:pPr>
      <w: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pPr>
        <w:pStyle w:val="3"/>
        <w:widowControl w:val="0"/>
        <w:jc w:val="both"/>
        <w:rPr>
          <w:b/>
          <w:sz w:val="20"/>
          <w:szCs w:val="20"/>
        </w:rPr>
      </w:pPr>
      <w:r>
        <w:rPr>
          <w:b/>
        </w:rPr>
        <w:t>18.2. Assurances</w:t>
      </w:r>
    </w:p>
    <w:p>
      <w:pPr>
        <w:pStyle w:val="3"/>
        <w:widowControl w:val="0"/>
        <w:numPr>
          <w:ilvl w:val="0"/>
          <w:numId w:val="47"/>
        </w:numPr>
        <w:jc w:val="both"/>
        <w:rPr>
          <w:color w:val="000000"/>
        </w:rPr>
      </w:pPr>
      <w:bookmarkStart w:id="124" w:name="_21od6so" w:colFirst="0" w:colLast="0"/>
      <w:bookmarkEnd w:id="124"/>
      <w:r>
        <w:rPr>
          <w:color w:val="000000"/>
        </w:rPr>
        <w:t>Le titulaire d’un marché est tenu de souscrire auprès d’une ou plusieurs sociétés d’assurances agréées, et dès notification du marché, une police d’assurance couvrant les risques liés à l’exécution des prestations, objets de son marché.</w:t>
      </w:r>
    </w:p>
    <w:p>
      <w:pPr>
        <w:pStyle w:val="3"/>
        <w:widowControl w:val="0"/>
        <w:numPr>
          <w:ilvl w:val="0"/>
          <w:numId w:val="47"/>
        </w:numPr>
        <w:jc w:val="both"/>
        <w:rPr>
          <w:color w:val="000000"/>
        </w:rPr>
      </w:pPr>
      <w:bookmarkStart w:id="125" w:name="_gtnh0h" w:colFirst="0" w:colLast="0"/>
      <w:bookmarkEnd w:id="125"/>
      <w:r>
        <w:rPr>
          <w:color w:val="000000"/>
        </w:rPr>
        <w:t xml:space="preserve">Les polices d’assurances suivantes sont requises au titre du présent Marché pour les montants minima, les franchises et les autres conditions minimales dans un délai de quinze (15) jours à compter de la notification du marché </w:t>
      </w:r>
      <w:r>
        <w:rPr>
          <w:i/>
          <w:color w:val="000000"/>
        </w:rPr>
        <w:t xml:space="preserve">(A préciser selon la liste ci-après) </w:t>
      </w:r>
      <w:r>
        <w:rPr>
          <w:color w:val="000000"/>
        </w:rPr>
        <w:t>:</w:t>
      </w:r>
    </w:p>
    <w:p>
      <w:pPr>
        <w:pStyle w:val="3"/>
        <w:widowControl w:val="0"/>
        <w:numPr>
          <w:ilvl w:val="0"/>
          <w:numId w:val="48"/>
        </w:numPr>
        <w:ind w:left="1843"/>
        <w:jc w:val="both"/>
        <w:rPr>
          <w:i/>
          <w:color w:val="ED7D31"/>
        </w:rPr>
      </w:pPr>
      <w:r>
        <w:rPr>
          <w:i/>
          <w:color w:val="000000"/>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r>
        <w:rPr>
          <w:i/>
          <w:color w:val="ED7D31"/>
        </w:rPr>
        <w:t xml:space="preserve">; </w:t>
      </w:r>
    </w:p>
    <w:p>
      <w:pPr>
        <w:pStyle w:val="3"/>
        <w:widowControl w:val="0"/>
        <w:numPr>
          <w:ilvl w:val="0"/>
          <w:numId w:val="48"/>
        </w:numPr>
        <w:ind w:left="1843"/>
        <w:jc w:val="both"/>
        <w:rPr>
          <w:i/>
          <w:color w:val="000000"/>
        </w:rPr>
      </w:pPr>
      <w:r>
        <w:rPr>
          <w:i/>
          <w:color w:val="000000"/>
        </w:rPr>
        <w:t>Assurance “Tous risques chantier</w:t>
      </w:r>
      <w:r>
        <w:rPr>
          <w:color w:val="000000"/>
        </w:rPr>
        <w:t xml:space="preserve"> </w:t>
      </w:r>
      <w:r>
        <w:rPr>
          <w:i/>
          <w:color w:val="000000"/>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pPr>
        <w:pStyle w:val="3"/>
        <w:widowControl w:val="0"/>
        <w:numPr>
          <w:ilvl w:val="0"/>
          <w:numId w:val="48"/>
        </w:numPr>
        <w:ind w:left="1843"/>
        <w:jc w:val="both"/>
        <w:rPr>
          <w:i/>
          <w:color w:val="000000"/>
        </w:rPr>
      </w:pPr>
      <w:r>
        <w:rPr>
          <w:i/>
          <w:color w:val="000000"/>
        </w:rPr>
        <w:t>Assurance couvrant la responsabilité décennale, le cas échéant.</w:t>
      </w:r>
    </w:p>
    <w:p>
      <w:pPr>
        <w:pStyle w:val="3"/>
        <w:widowControl w:val="0"/>
        <w:numPr>
          <w:ilvl w:val="0"/>
          <w:numId w:val="48"/>
        </w:numPr>
        <w:ind w:left="1843"/>
        <w:jc w:val="both"/>
        <w:rPr>
          <w:i/>
          <w:color w:val="000000"/>
        </w:rPr>
      </w:pPr>
      <w:r>
        <w:rPr>
          <w:color w:val="000000"/>
        </w:rPr>
        <w:t xml:space="preserve">Autres assurances Toutes autres assurances qui pourront être spécifiquement convenues entre les parties au marché. </w:t>
      </w:r>
    </w:p>
    <w:p>
      <w:pPr>
        <w:pStyle w:val="3"/>
        <w:widowControl w:val="0"/>
        <w:numPr>
          <w:ilvl w:val="0"/>
          <w:numId w:val="47"/>
        </w:numPr>
        <w:jc w:val="both"/>
        <w:rPr>
          <w:color w:val="000000"/>
        </w:rPr>
      </w:pPr>
      <w:r>
        <w:rPr>
          <w:color w:val="000000"/>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pPr>
        <w:pStyle w:val="3"/>
        <w:widowControl w:val="0"/>
        <w:ind w:left="720"/>
        <w:jc w:val="both"/>
        <w:rPr>
          <w:color w:val="000000"/>
          <w:sz w:val="10"/>
          <w:szCs w:val="10"/>
        </w:rPr>
      </w:pPr>
    </w:p>
    <w:p>
      <w:pPr>
        <w:pStyle w:val="3"/>
        <w:widowControl w:val="0"/>
        <w:numPr>
          <w:ilvl w:val="0"/>
          <w:numId w:val="47"/>
        </w:numPr>
        <w:jc w:val="both"/>
        <w:rPr>
          <w:color w:val="000000"/>
        </w:rPr>
      </w:pPr>
      <w:r>
        <w:rPr>
          <w:color w:val="000000"/>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pPr>
        <w:pStyle w:val="3"/>
        <w:widowControl w:val="0"/>
        <w:jc w:val="both"/>
        <w:rPr>
          <w:sz w:val="10"/>
          <w:szCs w:val="10"/>
        </w:rPr>
      </w:pPr>
    </w:p>
    <w:p>
      <w:pPr>
        <w:pStyle w:val="3"/>
        <w:widowControl w:val="0"/>
        <w:numPr>
          <w:ilvl w:val="0"/>
          <w:numId w:val="47"/>
        </w:numPr>
        <w:jc w:val="both"/>
        <w:rPr>
          <w:color w:val="000000"/>
        </w:rPr>
      </w:pPr>
      <w:r>
        <w:rPr>
          <w:color w:val="000000"/>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pPr>
        <w:pStyle w:val="3"/>
        <w:widowControl w:val="0"/>
        <w:jc w:val="both"/>
        <w:rPr>
          <w:sz w:val="10"/>
          <w:szCs w:val="10"/>
        </w:rPr>
      </w:pPr>
    </w:p>
    <w:p>
      <w:pPr>
        <w:pStyle w:val="3"/>
        <w:keepNext/>
        <w:jc w:val="both"/>
        <w:rPr>
          <w:color w:val="000000"/>
        </w:rPr>
      </w:pPr>
      <w:bookmarkStart w:id="126" w:name="_30tazoa" w:colFirst="0" w:colLast="0"/>
      <w:bookmarkEnd w:id="126"/>
      <w:r>
        <w:rPr>
          <w:color w:val="000000"/>
        </w:rPr>
        <w:t xml:space="preserve">Article 19- Sous-traitance </w:t>
      </w:r>
    </w:p>
    <w:p>
      <w:pPr>
        <w:pStyle w:val="3"/>
        <w:widowControl w:val="0"/>
        <w:jc w:val="both"/>
        <w:rPr>
          <w:b/>
          <w:i/>
          <w:smallCaps/>
        </w:rPr>
      </w:pPr>
      <w:bookmarkStart w:id="127" w:name="_1fyl9w3" w:colFirst="0" w:colLast="0"/>
      <w:bookmarkEnd w:id="127"/>
      <w: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pPr>
        <w:pStyle w:val="3"/>
        <w:widowControl w:val="0"/>
        <w:jc w:val="both"/>
        <w:rPr>
          <w:sz w:val="10"/>
          <w:szCs w:val="10"/>
        </w:rPr>
      </w:pPr>
      <w:r>
        <w:t xml:space="preserve"> </w:t>
      </w:r>
    </w:p>
    <w:p>
      <w:pPr>
        <w:pStyle w:val="3"/>
        <w:widowControl w:val="0"/>
        <w:jc w:val="both"/>
        <w:rPr>
          <w:b/>
          <w:i/>
          <w:smallCaps/>
        </w:rPr>
      </w:pPr>
      <w: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pPr>
        <w:pStyle w:val="3"/>
        <w:widowControl w:val="0"/>
        <w:jc w:val="both"/>
        <w:rPr>
          <w:sz w:val="10"/>
          <w:szCs w:val="10"/>
        </w:rPr>
      </w:pPr>
      <w:r>
        <w:t xml:space="preserve"> </w:t>
      </w:r>
    </w:p>
    <w:p>
      <w:pPr>
        <w:pStyle w:val="3"/>
        <w:widowControl w:val="0"/>
        <w:jc w:val="both"/>
        <w:rPr>
          <w:b/>
          <w:i/>
          <w:smallCaps/>
        </w:rPr>
      </w:pPr>
      <w:r>
        <w:t xml:space="preserve">Le montant des travaux pouvant être sous-traités est limité à trente pour cent (30%) du montant du marché et de ses avenants, le cas échéant.  </w:t>
      </w:r>
    </w:p>
    <w:p>
      <w:pPr>
        <w:pStyle w:val="3"/>
        <w:widowControl w:val="0"/>
        <w:jc w:val="both"/>
        <w:rPr>
          <w:sz w:val="10"/>
          <w:szCs w:val="10"/>
        </w:rPr>
      </w:pPr>
    </w:p>
    <w:p>
      <w:pPr>
        <w:pStyle w:val="3"/>
        <w:widowControl w:val="0"/>
        <w:jc w:val="both"/>
        <w:rPr>
          <w:b/>
          <w:i/>
          <w:smallCaps/>
        </w:rPr>
      </w:pPr>
      <w:bookmarkStart w:id="128" w:name="_3zy8sjw" w:colFirst="0" w:colLast="0"/>
      <w:bookmarkEnd w:id="128"/>
      <w: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pPr>
        <w:pStyle w:val="3"/>
        <w:widowControl w:val="0"/>
        <w:jc w:val="both"/>
        <w:rPr>
          <w:color w:val="ED7D31"/>
          <w:sz w:val="10"/>
          <w:szCs w:val="10"/>
        </w:rPr>
      </w:pPr>
      <w:r>
        <w:rPr>
          <w:color w:val="ED7D31"/>
        </w:rPr>
        <w:t xml:space="preserve"> </w:t>
      </w:r>
    </w:p>
    <w:p>
      <w:pPr>
        <w:pStyle w:val="3"/>
        <w:widowControl w:val="0"/>
        <w:jc w:val="both"/>
        <w:rPr>
          <w:b/>
          <w:i/>
          <w:smallCaps/>
        </w:rPr>
      </w:pPr>
      <w: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pPr>
        <w:pStyle w:val="3"/>
        <w:widowControl w:val="0"/>
        <w:jc w:val="both"/>
        <w:rPr>
          <w:sz w:val="10"/>
          <w:szCs w:val="10"/>
        </w:rPr>
      </w:pPr>
    </w:p>
    <w:p>
      <w:pPr>
        <w:pStyle w:val="3"/>
        <w:keepNext/>
        <w:jc w:val="both"/>
        <w:rPr>
          <w:color w:val="000000"/>
        </w:rPr>
      </w:pPr>
      <w:bookmarkStart w:id="129" w:name="_2f3j2rp" w:colFirst="0" w:colLast="0"/>
      <w:bookmarkEnd w:id="129"/>
      <w:r>
        <w:rPr>
          <w:color w:val="000000"/>
        </w:rPr>
        <w:t>Article 20- Laboratoire de chantier et essais</w:t>
      </w:r>
    </w:p>
    <w:p>
      <w:pPr>
        <w:pStyle w:val="3"/>
        <w:widowControl w:val="0"/>
        <w:jc w:val="both"/>
        <w:rPr>
          <w:b/>
          <w:i/>
          <w:smallCaps/>
        </w:rPr>
      </w:pPr>
      <w: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w:t>
      </w:r>
    </w:p>
    <w:p>
      <w:pPr>
        <w:pStyle w:val="3"/>
        <w:widowControl w:val="0"/>
        <w:jc w:val="both"/>
        <w:rPr>
          <w:sz w:val="10"/>
          <w:szCs w:val="10"/>
        </w:rPr>
      </w:pPr>
    </w:p>
    <w:p>
      <w:pPr>
        <w:pStyle w:val="3"/>
        <w:widowControl w:val="0"/>
        <w:jc w:val="both"/>
        <w:rPr>
          <w:b/>
          <w:i/>
          <w:smallCaps/>
        </w:rPr>
      </w:pPr>
      <w:r>
        <w:t>20.1. Les essais le cas échéant, prévus dans le cadre du présent marché comprennent :</w:t>
      </w:r>
    </w:p>
    <w:p>
      <w:pPr>
        <w:pStyle w:val="3"/>
        <w:widowControl w:val="0"/>
        <w:jc w:val="both"/>
        <w:rPr>
          <w:sz w:val="10"/>
          <w:szCs w:val="10"/>
        </w:rPr>
      </w:pPr>
    </w:p>
    <w:p>
      <w:pPr>
        <w:pStyle w:val="3"/>
        <w:widowControl w:val="0"/>
        <w:jc w:val="both"/>
        <w:rPr>
          <w:b/>
          <w:i/>
          <w:smallCaps/>
        </w:rPr>
      </w:pPr>
      <w:r>
        <w:t xml:space="preserve">20.2. Les équipements et matériels de laboratoire nécessaires sont : </w:t>
      </w:r>
    </w:p>
    <w:p>
      <w:pPr>
        <w:pStyle w:val="3"/>
        <w:widowControl w:val="0"/>
        <w:jc w:val="both"/>
        <w:rPr>
          <w:sz w:val="10"/>
          <w:szCs w:val="10"/>
        </w:rPr>
      </w:pPr>
    </w:p>
    <w:p>
      <w:pPr>
        <w:pStyle w:val="3"/>
        <w:widowControl w:val="0"/>
        <w:jc w:val="both"/>
        <w:rPr>
          <w:b/>
          <w:i/>
          <w:smallCaps/>
        </w:rPr>
      </w:pPr>
      <w:r>
        <w:t xml:space="preserve">20.3. Les modalités de mise en œuvre de ces essais sont : </w:t>
      </w:r>
    </w:p>
    <w:p>
      <w:pPr>
        <w:pStyle w:val="3"/>
        <w:widowControl w:val="0"/>
        <w:jc w:val="both"/>
        <w:rPr>
          <w:b/>
          <w:i/>
          <w:smallCaps/>
        </w:rPr>
      </w:pPr>
      <w:r>
        <w:t>Les frais inhérents à ces essais et contrôles sont à la charge du Cocontractant.</w:t>
      </w:r>
    </w:p>
    <w:p>
      <w:pPr>
        <w:pStyle w:val="3"/>
        <w:widowControl w:val="0"/>
        <w:jc w:val="both"/>
        <w:rPr>
          <w:sz w:val="10"/>
          <w:szCs w:val="10"/>
        </w:rPr>
      </w:pPr>
    </w:p>
    <w:p>
      <w:pPr>
        <w:pStyle w:val="3"/>
        <w:keepNext/>
        <w:jc w:val="both"/>
        <w:rPr>
          <w:color w:val="000000"/>
        </w:rPr>
      </w:pPr>
      <w:bookmarkStart w:id="130" w:name="_2olpkfy" w:colFirst="0" w:colLast="0"/>
      <w:bookmarkEnd w:id="130"/>
      <w:r>
        <w:rPr>
          <w:color w:val="000000"/>
        </w:rPr>
        <w:t xml:space="preserve">Article 21- Journal et Réunions de chantier </w:t>
      </w:r>
    </w:p>
    <w:p>
      <w:pPr>
        <w:pStyle w:val="3"/>
        <w:widowControl w:val="0"/>
        <w:jc w:val="both"/>
        <w:rPr>
          <w:b/>
          <w:sz w:val="20"/>
          <w:szCs w:val="20"/>
        </w:rPr>
      </w:pPr>
      <w:r>
        <w:rPr>
          <w:b/>
        </w:rPr>
        <w:t>21.1. Journal de chantier.</w:t>
      </w:r>
    </w:p>
    <w:p>
      <w:pPr>
        <w:pStyle w:val="3"/>
        <w:widowControl w:val="0"/>
        <w:jc w:val="both"/>
        <w:rPr>
          <w:b/>
          <w:i/>
          <w:smallCaps/>
        </w:rPr>
      </w:pPr>
      <w: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pPr>
        <w:pStyle w:val="3"/>
        <w:widowControl w:val="0"/>
        <w:numPr>
          <w:ilvl w:val="0"/>
          <w:numId w:val="21"/>
        </w:numPr>
        <w:ind w:left="567" w:hanging="283"/>
        <w:jc w:val="both"/>
        <w:rPr>
          <w:i/>
          <w:smallCaps/>
        </w:rPr>
      </w:pPr>
      <w:r>
        <w:t xml:space="preserve">Les opérations administratives, relatives à l'exécution et au règlement du marché (notification, résultats d'essais, attachement) ; </w:t>
      </w:r>
    </w:p>
    <w:p>
      <w:pPr>
        <w:pStyle w:val="3"/>
        <w:widowControl w:val="0"/>
        <w:numPr>
          <w:ilvl w:val="0"/>
          <w:numId w:val="21"/>
        </w:numPr>
        <w:ind w:left="567" w:hanging="283"/>
        <w:jc w:val="both"/>
        <w:rPr>
          <w:i/>
          <w:smallCaps/>
        </w:rPr>
      </w:pPr>
      <w:r>
        <w:t>Les conditions atmosphériques ;</w:t>
      </w:r>
    </w:p>
    <w:p>
      <w:pPr>
        <w:pStyle w:val="3"/>
        <w:widowControl w:val="0"/>
        <w:numPr>
          <w:ilvl w:val="0"/>
          <w:numId w:val="21"/>
        </w:numPr>
        <w:ind w:left="567" w:hanging="283"/>
        <w:jc w:val="both"/>
        <w:rPr>
          <w:i/>
          <w:smallCaps/>
        </w:rPr>
      </w:pPr>
      <w:r>
        <w:t>Les réceptions de matériaux et agréments de toutes sortes ;</w:t>
      </w:r>
    </w:p>
    <w:p>
      <w:pPr>
        <w:pStyle w:val="3"/>
        <w:widowControl w:val="0"/>
        <w:numPr>
          <w:ilvl w:val="0"/>
          <w:numId w:val="21"/>
        </w:numPr>
        <w:ind w:left="567" w:hanging="283"/>
        <w:jc w:val="both"/>
        <w:rPr>
          <w:i/>
          <w:smallCaps/>
        </w:rPr>
      </w:pPr>
      <w:r>
        <w:t>Les incidents ou détails de toutes natures présentant quelques intérêts du point de vue de la tenue ultérieure des ouvrages ou de la durée réelle des travaux ;</w:t>
      </w:r>
    </w:p>
    <w:p>
      <w:pPr>
        <w:pStyle w:val="3"/>
        <w:widowControl w:val="0"/>
        <w:numPr>
          <w:ilvl w:val="0"/>
          <w:numId w:val="21"/>
        </w:numPr>
        <w:ind w:left="567" w:hanging="283"/>
        <w:jc w:val="both"/>
        <w:rPr>
          <w:i/>
          <w:smallCaps/>
        </w:rPr>
      </w:pPr>
      <w:r>
        <w:t>Etc.</w:t>
      </w:r>
    </w:p>
    <w:p>
      <w:pPr>
        <w:pStyle w:val="3"/>
        <w:widowControl w:val="0"/>
        <w:jc w:val="both"/>
        <w:rPr>
          <w:b/>
          <w:i/>
          <w:smallCaps/>
        </w:rPr>
      </w:pPr>
      <w:r>
        <w:t>Le cocontractant pourra y consigner les incidents ou observations susceptibles de donner lieu à une réclamation de sa part.</w:t>
      </w:r>
    </w:p>
    <w:p>
      <w:pPr>
        <w:pStyle w:val="3"/>
        <w:widowControl w:val="0"/>
        <w:jc w:val="both"/>
        <w:rPr>
          <w:sz w:val="10"/>
          <w:szCs w:val="10"/>
        </w:rPr>
      </w:pPr>
    </w:p>
    <w:p>
      <w:pPr>
        <w:pStyle w:val="3"/>
        <w:widowControl w:val="0"/>
        <w:jc w:val="both"/>
        <w:rPr>
          <w:b/>
          <w:i/>
          <w:smallCaps/>
        </w:rPr>
      </w:pPr>
      <w:r>
        <w:t>Ce journal sera signé contradictoirement par le Maître d’œuvre et le représentant du cocontractant à chaque visite de chantier.</w:t>
      </w:r>
    </w:p>
    <w:p>
      <w:pPr>
        <w:pStyle w:val="3"/>
        <w:widowControl w:val="0"/>
        <w:jc w:val="both"/>
        <w:rPr>
          <w:b/>
          <w:i/>
          <w:smallCaps/>
        </w:rPr>
      </w:pPr>
      <w:r>
        <w:t>Pour toute réclamation éventuelle du cocontractant, il ne pourra être fait état outre les autres pièces du marché, que des événements ou documents mentionnés en temps utile au journal de chantier.</w:t>
      </w:r>
    </w:p>
    <w:p>
      <w:pPr>
        <w:pStyle w:val="3"/>
        <w:widowControl w:val="0"/>
        <w:jc w:val="both"/>
        <w:rPr>
          <w:sz w:val="10"/>
          <w:szCs w:val="10"/>
        </w:rPr>
      </w:pPr>
    </w:p>
    <w:p>
      <w:pPr>
        <w:pStyle w:val="3"/>
        <w:widowControl w:val="0"/>
        <w:jc w:val="both"/>
        <w:rPr>
          <w:b/>
          <w:sz w:val="20"/>
          <w:szCs w:val="20"/>
        </w:rPr>
      </w:pPr>
      <w:r>
        <w:rPr>
          <w:b/>
        </w:rPr>
        <w:t>21.2. Réunions de chantier</w:t>
      </w:r>
    </w:p>
    <w:p>
      <w:pPr>
        <w:pStyle w:val="3"/>
        <w:widowControl w:val="0"/>
        <w:jc w:val="both"/>
        <w:rPr>
          <w:i/>
          <w:sz w:val="20"/>
          <w:szCs w:val="20"/>
        </w:rPr>
      </w:pPr>
      <w:r>
        <w:t xml:space="preserve">Outre les réunions régulières de chantier à l’initiative du maître d’œuvre, des réunions périodiques devront être tenues en présence du Chef de service du marché et de l’Ingénieur du marché ou leur représentant. </w:t>
      </w:r>
    </w:p>
    <w:p>
      <w:pPr>
        <w:pStyle w:val="3"/>
        <w:widowControl w:val="0"/>
        <w:jc w:val="both"/>
        <w:rPr>
          <w:b/>
          <w:i/>
          <w:smallCaps/>
        </w:rPr>
      </w:pPr>
      <w:r>
        <w:t xml:space="preserve">Les réunions de chantier feront l’objet d’un procès-verbal signé par tous les participants. </w:t>
      </w:r>
    </w:p>
    <w:p>
      <w:pPr>
        <w:pStyle w:val="3"/>
        <w:widowControl w:val="0"/>
        <w:jc w:val="both"/>
        <w:rPr>
          <w:sz w:val="10"/>
          <w:szCs w:val="10"/>
        </w:rPr>
      </w:pPr>
    </w:p>
    <w:p>
      <w:pPr>
        <w:pStyle w:val="3"/>
        <w:keepNext/>
        <w:jc w:val="both"/>
        <w:rPr>
          <w:color w:val="000000"/>
        </w:rPr>
      </w:pPr>
      <w:bookmarkStart w:id="131" w:name="_13qzunr" w:colFirst="0" w:colLast="0"/>
      <w:bookmarkEnd w:id="131"/>
      <w:r>
        <w:rPr>
          <w:color w:val="000000"/>
        </w:rPr>
        <w:t xml:space="preserve">Article 22- Utilisation des explosifs </w:t>
      </w:r>
    </w:p>
    <w:p>
      <w:pPr>
        <w:pStyle w:val="3"/>
        <w:widowControl w:val="0"/>
        <w:jc w:val="both"/>
        <w:rPr>
          <w:i/>
        </w:rPr>
      </w:pPr>
      <w:r>
        <w:rPr>
          <w:i/>
        </w:rPr>
        <w:t xml:space="preserve">L’utilisation des explosifs est  interdite </w:t>
      </w:r>
    </w:p>
    <w:p>
      <w:pPr>
        <w:pStyle w:val="3"/>
        <w:widowControl w:val="0"/>
        <w:jc w:val="both"/>
        <w:rPr>
          <w:i/>
          <w:sz w:val="10"/>
          <w:szCs w:val="10"/>
        </w:rPr>
      </w:pPr>
    </w:p>
    <w:p>
      <w:pPr>
        <w:pStyle w:val="3"/>
        <w:keepNext/>
        <w:numPr>
          <w:ilvl w:val="0"/>
          <w:numId w:val="40"/>
        </w:numPr>
        <w:ind w:left="714" w:hanging="357"/>
        <w:jc w:val="center"/>
      </w:pPr>
      <w:bookmarkStart w:id="132" w:name="_u8tczi" w:colFirst="0" w:colLast="0"/>
      <w:bookmarkEnd w:id="132"/>
      <w:r>
        <w:rPr>
          <w:smallCaps/>
          <w:color w:val="000000"/>
          <w:sz w:val="32"/>
          <w:szCs w:val="32"/>
        </w:rPr>
        <w:t>DE LA RÉCEPTION</w:t>
      </w:r>
    </w:p>
    <w:p>
      <w:pPr>
        <w:pStyle w:val="3"/>
        <w:keepNext/>
        <w:ind w:left="1071" w:hanging="357"/>
        <w:rPr>
          <w:smallCaps/>
          <w:color w:val="000000"/>
          <w:sz w:val="10"/>
          <w:szCs w:val="10"/>
        </w:rPr>
      </w:pPr>
    </w:p>
    <w:p>
      <w:pPr>
        <w:pStyle w:val="3"/>
        <w:jc w:val="both"/>
        <w:rPr>
          <w:b/>
          <w:sz w:val="20"/>
          <w:szCs w:val="20"/>
        </w:rPr>
      </w:pPr>
      <w:bookmarkStart w:id="133" w:name="_3e8gvnb" w:colFirst="0" w:colLast="0"/>
      <w:bookmarkEnd w:id="133"/>
      <w:r>
        <w:rPr>
          <w:b/>
        </w:rPr>
        <w:t xml:space="preserve">Article 23 : Documents à fournir avant la réception technique </w:t>
      </w:r>
    </w:p>
    <w:p>
      <w:pPr>
        <w:pStyle w:val="3"/>
        <w:jc w:val="both"/>
        <w:rPr>
          <w:b/>
          <w:i/>
          <w:smallCaps/>
        </w:rPr>
      </w:pPr>
      <w:r>
        <w:t>Le cocontractant devra dans un délai de dix (10) jours au moins avant la réception provisoire du marché subséquent transmettre au Maître d’Ouvrage les documents suivants:</w:t>
      </w:r>
    </w:p>
    <w:p>
      <w:pPr>
        <w:pStyle w:val="3"/>
        <w:numPr>
          <w:ilvl w:val="0"/>
          <w:numId w:val="49"/>
        </w:numPr>
        <w:jc w:val="both"/>
        <w:rPr>
          <w:b/>
          <w:i/>
          <w:smallCaps/>
        </w:rPr>
      </w:pPr>
      <w:r>
        <w:t>Copie de la facture ou du décompte décrivant les travaux indiquant leurs quantités, leur prix et le montant total ;</w:t>
      </w:r>
    </w:p>
    <w:p>
      <w:pPr>
        <w:pStyle w:val="3"/>
        <w:numPr>
          <w:ilvl w:val="0"/>
          <w:numId w:val="49"/>
        </w:numPr>
        <w:jc w:val="both"/>
        <w:rPr>
          <w:b/>
          <w:i/>
          <w:smallCaps/>
        </w:rPr>
      </w:pPr>
      <w:r>
        <w:t xml:space="preserve">Notification de la réception ; </w:t>
      </w:r>
    </w:p>
    <w:p>
      <w:pPr>
        <w:pStyle w:val="3"/>
        <w:numPr>
          <w:ilvl w:val="0"/>
          <w:numId w:val="49"/>
        </w:numPr>
        <w:jc w:val="both"/>
        <w:rPr>
          <w:b/>
          <w:i/>
          <w:smallCaps/>
        </w:rPr>
      </w:pPr>
      <w:r>
        <w:t>Copie du Cautionnement du définitif ;</w:t>
      </w:r>
    </w:p>
    <w:p>
      <w:pPr>
        <w:pStyle w:val="3"/>
        <w:numPr>
          <w:ilvl w:val="0"/>
          <w:numId w:val="49"/>
        </w:numPr>
        <w:jc w:val="both"/>
        <w:rPr>
          <w:sz w:val="20"/>
          <w:szCs w:val="20"/>
        </w:rPr>
      </w:pPr>
      <w:r>
        <w:t>Copie de l’assurance, le cas échéant ;</w:t>
      </w:r>
    </w:p>
    <w:p>
      <w:pPr>
        <w:pStyle w:val="3"/>
        <w:numPr>
          <w:ilvl w:val="0"/>
          <w:numId w:val="49"/>
        </w:numPr>
        <w:jc w:val="both"/>
        <w:rPr>
          <w:sz w:val="20"/>
          <w:szCs w:val="20"/>
        </w:rPr>
      </w:pPr>
      <w:r>
        <w:t xml:space="preserve">La lettre commande enregistrée </w:t>
      </w:r>
    </w:p>
    <w:p>
      <w:pPr>
        <w:pStyle w:val="3"/>
        <w:keepNext/>
        <w:jc w:val="both"/>
        <w:rPr>
          <w:color w:val="000000"/>
          <w:sz w:val="10"/>
          <w:szCs w:val="10"/>
        </w:rPr>
      </w:pPr>
    </w:p>
    <w:p>
      <w:pPr>
        <w:pStyle w:val="3"/>
        <w:keepNext/>
        <w:jc w:val="both"/>
        <w:rPr>
          <w:color w:val="000000"/>
        </w:rPr>
      </w:pPr>
      <w:r>
        <w:rPr>
          <w:color w:val="000000"/>
        </w:rPr>
        <w:t xml:space="preserve">Article 24- Réception provisoire </w:t>
      </w:r>
    </w:p>
    <w:p>
      <w:pPr>
        <w:pStyle w:val="3"/>
        <w:widowControl w:val="0"/>
        <w:tabs>
          <w:tab w:val="left" w:pos="900"/>
          <w:tab w:val="left" w:pos="1300"/>
          <w:tab w:val="left" w:pos="2480"/>
          <w:tab w:val="left" w:pos="3760"/>
        </w:tabs>
        <w:jc w:val="both"/>
        <w:rPr>
          <w:b/>
          <w:sz w:val="20"/>
          <w:szCs w:val="20"/>
        </w:rPr>
      </w:pPr>
      <w:r>
        <w:rPr>
          <w:b/>
        </w:rPr>
        <w:t>24.1. Opérations préalables à la réception</w:t>
      </w:r>
    </w:p>
    <w:p>
      <w:pPr>
        <w:pStyle w:val="3"/>
        <w:widowControl w:val="0"/>
        <w:tabs>
          <w:tab w:val="left" w:pos="900"/>
          <w:tab w:val="left" w:pos="1300"/>
          <w:tab w:val="left" w:pos="2480"/>
          <w:tab w:val="left" w:pos="3760"/>
        </w:tabs>
        <w:jc w:val="both"/>
        <w:rPr>
          <w:sz w:val="20"/>
          <w:szCs w:val="20"/>
        </w:rPr>
      </w:pPr>
      <w:r>
        <w:t>Avant la réception provisoire, le cocontractant demande par écrit au Maître d’Ouvrage, avec copie à l’ingénieur, l’organisation d’une visite technique préalable à la réception.</w:t>
      </w:r>
    </w:p>
    <w:p>
      <w:pPr>
        <w:pStyle w:val="3"/>
        <w:widowControl w:val="0"/>
        <w:tabs>
          <w:tab w:val="left" w:pos="900"/>
          <w:tab w:val="left" w:pos="1300"/>
          <w:tab w:val="left" w:pos="2480"/>
          <w:tab w:val="left" w:pos="3760"/>
        </w:tabs>
        <w:jc w:val="both"/>
        <w:rPr>
          <w:sz w:val="20"/>
          <w:szCs w:val="20"/>
        </w:rPr>
      </w:pPr>
      <w:r>
        <w:t xml:space="preserve">Cette visite comprend entre autres opérations : la vérification en qualité et en quantités  </w:t>
      </w:r>
    </w:p>
    <w:p>
      <w:pPr>
        <w:pStyle w:val="3"/>
        <w:widowControl w:val="0"/>
        <w:numPr>
          <w:ilvl w:val="0"/>
          <w:numId w:val="50"/>
        </w:numPr>
        <w:tabs>
          <w:tab w:val="left" w:pos="900"/>
          <w:tab w:val="left" w:pos="1300"/>
          <w:tab w:val="left" w:pos="2480"/>
          <w:tab w:val="left" w:pos="3760"/>
        </w:tabs>
        <w:jc w:val="both"/>
        <w:rPr>
          <w:color w:val="000000"/>
          <w:sz w:val="10"/>
          <w:szCs w:val="10"/>
        </w:rPr>
      </w:pPr>
      <w:r>
        <w:rPr>
          <w:b/>
          <w:color w:val="000000"/>
          <w:sz w:val="22"/>
          <w:szCs w:val="22"/>
        </w:rPr>
        <w:t>La commission de réception</w:t>
      </w:r>
      <w:r>
        <w:rPr>
          <w:color w:val="000000"/>
          <w:sz w:val="22"/>
          <w:szCs w:val="22"/>
        </w:rPr>
        <w:t>, procède aux vérifications en qualité et en quantités</w:t>
      </w:r>
    </w:p>
    <w:p>
      <w:pPr>
        <w:pStyle w:val="3"/>
        <w:widowControl w:val="0"/>
        <w:tabs>
          <w:tab w:val="left" w:pos="900"/>
          <w:tab w:val="left" w:pos="1300"/>
          <w:tab w:val="left" w:pos="2480"/>
          <w:tab w:val="left" w:pos="3760"/>
        </w:tabs>
        <w:jc w:val="both"/>
        <w:rPr>
          <w:sz w:val="20"/>
          <w:szCs w:val="20"/>
        </w:rPr>
      </w:pPr>
      <w:r>
        <w:t>Ces opérations font l’objet d’un procès-verbal dressé sur le champ et signé par l’Ingénieur et le Cocontractant.</w:t>
      </w:r>
    </w:p>
    <w:p>
      <w:pPr>
        <w:pStyle w:val="3"/>
        <w:widowControl w:val="0"/>
        <w:tabs>
          <w:tab w:val="left" w:pos="900"/>
          <w:tab w:val="left" w:pos="1300"/>
          <w:tab w:val="left" w:pos="2480"/>
          <w:tab w:val="left" w:pos="3760"/>
        </w:tabs>
        <w:jc w:val="both"/>
        <w:rPr>
          <w:sz w:val="10"/>
          <w:szCs w:val="10"/>
        </w:rPr>
      </w:pPr>
    </w:p>
    <w:p>
      <w:pPr>
        <w:pStyle w:val="3"/>
        <w:widowControl w:val="0"/>
        <w:numPr>
          <w:ilvl w:val="0"/>
          <w:numId w:val="50"/>
        </w:numPr>
        <w:tabs>
          <w:tab w:val="left" w:pos="900"/>
          <w:tab w:val="left" w:pos="1300"/>
          <w:tab w:val="left" w:pos="2480"/>
          <w:tab w:val="left" w:pos="3760"/>
        </w:tabs>
        <w:jc w:val="both"/>
        <w:rPr>
          <w:color w:val="000000"/>
        </w:rPr>
      </w:pPr>
      <w:r>
        <w:rPr>
          <w:color w:val="000000"/>
        </w:rPr>
        <w:t>Lorsque ces opérations sont effectuées par un technicien, celui-ci établit un procès-verbal portant proposition d'acceptation, de mise à réparer, à bonifier ou de rejet, qui est transmis à la commission pour décision.</w:t>
      </w:r>
    </w:p>
    <w:p>
      <w:pPr>
        <w:pStyle w:val="3"/>
        <w:widowControl w:val="0"/>
        <w:tabs>
          <w:tab w:val="left" w:pos="900"/>
          <w:tab w:val="left" w:pos="1300"/>
          <w:tab w:val="left" w:pos="2480"/>
          <w:tab w:val="left" w:pos="3760"/>
        </w:tabs>
        <w:jc w:val="both"/>
        <w:rPr>
          <w:sz w:val="10"/>
          <w:szCs w:val="10"/>
        </w:rPr>
      </w:pPr>
    </w:p>
    <w:p>
      <w:pPr>
        <w:pStyle w:val="3"/>
        <w:widowControl w:val="0"/>
        <w:numPr>
          <w:ilvl w:val="0"/>
          <w:numId w:val="50"/>
        </w:numPr>
        <w:tabs>
          <w:tab w:val="left" w:pos="900"/>
          <w:tab w:val="left" w:pos="1300"/>
          <w:tab w:val="left" w:pos="2480"/>
          <w:tab w:val="left" w:pos="3760"/>
        </w:tabs>
        <w:jc w:val="both"/>
        <w:rPr>
          <w:color w:val="000000"/>
        </w:rPr>
      </w:pPr>
      <w:r>
        <w:rPr>
          <w:b/>
          <w:color w:val="000000"/>
        </w:rPr>
        <w:t>La commission de réception technique</w:t>
      </w:r>
      <w:r>
        <w:rPr>
          <w:color w:val="000000"/>
        </w:rPr>
        <w:t xml:space="preserve">  doit vérifier la conformité qualitative, technique et quantitative des travaux.</w:t>
      </w:r>
    </w:p>
    <w:p>
      <w:pPr>
        <w:pStyle w:val="3"/>
        <w:widowControl w:val="0"/>
        <w:tabs>
          <w:tab w:val="left" w:pos="900"/>
          <w:tab w:val="left" w:pos="1300"/>
          <w:tab w:val="left" w:pos="2480"/>
          <w:tab w:val="left" w:pos="3760"/>
        </w:tabs>
        <w:jc w:val="both"/>
        <w:rPr>
          <w:sz w:val="20"/>
          <w:szCs w:val="20"/>
        </w:rPr>
      </w:pPr>
      <w:r>
        <w:t>En matière de réception technique, la commission prend une des décisions suivantes concernant tout ou partie de la prestation :</w:t>
      </w:r>
    </w:p>
    <w:p>
      <w:pPr>
        <w:pStyle w:val="3"/>
        <w:widowControl w:val="0"/>
        <w:numPr>
          <w:ilvl w:val="0"/>
          <w:numId w:val="51"/>
        </w:numPr>
        <w:tabs>
          <w:tab w:val="left" w:pos="900"/>
          <w:tab w:val="left" w:pos="1300"/>
          <w:tab w:val="left" w:pos="2480"/>
          <w:tab w:val="left" w:pos="3760"/>
        </w:tabs>
        <w:ind w:left="720"/>
        <w:jc w:val="both"/>
        <w:rPr>
          <w:color w:val="000000"/>
        </w:rPr>
      </w:pPr>
      <w:r>
        <w:rPr>
          <w:color w:val="000000"/>
        </w:rPr>
        <w:t>Elle accepte en qualité et en quantité les travaux et, dans ce cas, sa décision est immédiatement exécutoire ;</w:t>
      </w:r>
    </w:p>
    <w:p>
      <w:pPr>
        <w:pStyle w:val="3"/>
        <w:widowControl w:val="0"/>
        <w:numPr>
          <w:ilvl w:val="0"/>
          <w:numId w:val="51"/>
        </w:numPr>
        <w:tabs>
          <w:tab w:val="left" w:pos="900"/>
          <w:tab w:val="left" w:pos="1300"/>
          <w:tab w:val="left" w:pos="2480"/>
          <w:tab w:val="left" w:pos="3760"/>
        </w:tabs>
        <w:ind w:left="720"/>
        <w:jc w:val="both"/>
        <w:rPr>
          <w:color w:val="000000"/>
        </w:rPr>
      </w:pPr>
      <w:r>
        <w:rPr>
          <w:color w:val="00000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pPr>
        <w:pStyle w:val="3"/>
        <w:widowControl w:val="0"/>
        <w:tabs>
          <w:tab w:val="left" w:pos="900"/>
          <w:tab w:val="left" w:pos="1300"/>
          <w:tab w:val="left" w:pos="2480"/>
          <w:tab w:val="left" w:pos="3760"/>
        </w:tabs>
        <w:ind w:left="1440"/>
        <w:jc w:val="both"/>
        <w:rPr>
          <w:color w:val="000000"/>
          <w:sz w:val="10"/>
          <w:szCs w:val="10"/>
        </w:rPr>
      </w:pPr>
    </w:p>
    <w:p>
      <w:pPr>
        <w:pStyle w:val="3"/>
        <w:widowControl w:val="0"/>
        <w:tabs>
          <w:tab w:val="left" w:pos="900"/>
          <w:tab w:val="left" w:pos="1300"/>
          <w:tab w:val="left" w:pos="2480"/>
          <w:tab w:val="left" w:pos="3760"/>
        </w:tabs>
        <w:jc w:val="both"/>
        <w:rPr>
          <w:b/>
          <w:sz w:val="20"/>
          <w:szCs w:val="20"/>
        </w:rPr>
      </w:pPr>
      <w:bookmarkStart w:id="134" w:name="_1tdr5v4" w:colFirst="0" w:colLast="0"/>
      <w:bookmarkEnd w:id="134"/>
      <w:r>
        <w:rPr>
          <w:b/>
        </w:rPr>
        <w:t>24.2. Réception Provisoire</w:t>
      </w:r>
    </w:p>
    <w:p>
      <w:pPr>
        <w:pStyle w:val="3"/>
        <w:widowControl w:val="0"/>
        <w:jc w:val="both"/>
        <w:rPr>
          <w:b/>
          <w:i/>
          <w:smallCaps/>
        </w:rPr>
      </w:pPr>
      <w:bookmarkStart w:id="135" w:name="_4ddeoix" w:colFirst="0" w:colLast="0"/>
      <w:bookmarkEnd w:id="135"/>
      <w:r>
        <w:t xml:space="preserve">Le cocontractant est tenu de faire connaître au Chef de service du marché au plus tard </w:t>
      </w:r>
      <w:r>
        <w:rPr>
          <w:i/>
        </w:rPr>
        <w:t xml:space="preserve">03 </w:t>
      </w:r>
      <w:r>
        <w:t>jours avant l’expiration du délai contractuel, la date à laquelle il souhaite que soit réceptionnés les travaux.</w:t>
      </w:r>
    </w:p>
    <w:p>
      <w:pPr>
        <w:pStyle w:val="3"/>
        <w:widowControl w:val="0"/>
        <w:jc w:val="both"/>
        <w:rPr>
          <w:sz w:val="10"/>
          <w:szCs w:val="10"/>
        </w:rPr>
      </w:pPr>
    </w:p>
    <w:p>
      <w:pPr>
        <w:pStyle w:val="3"/>
        <w:widowControl w:val="0"/>
        <w:jc w:val="both"/>
        <w:rPr>
          <w:b/>
          <w:sz w:val="20"/>
          <w:szCs w:val="20"/>
        </w:rPr>
      </w:pPr>
      <w:bookmarkStart w:id="136" w:name="_2sioyqq" w:colFirst="0" w:colLast="0"/>
      <w:bookmarkEnd w:id="136"/>
      <w:r>
        <w:t xml:space="preserve">La réception provisoire sera prononcée aussitôt à la fin de l’exécution des travaux objet du présent marché et après les Opérations préalables à la réception. </w:t>
      </w:r>
      <w:r>
        <w:rPr>
          <w:b/>
        </w:rPr>
        <w:t xml:space="preserve">La Commission après visite du chantier examine le procès-verbal des opérations préalables à la réception et procède à la réception provisoire des travaux s'il y a lieu. </w:t>
      </w:r>
    </w:p>
    <w:p>
      <w:pPr>
        <w:pStyle w:val="3"/>
        <w:widowControl w:val="0"/>
        <w:jc w:val="both"/>
        <w:rPr>
          <w:color w:val="ED7D31"/>
          <w:sz w:val="10"/>
          <w:szCs w:val="10"/>
        </w:rPr>
      </w:pPr>
    </w:p>
    <w:p>
      <w:pPr>
        <w:pStyle w:val="3"/>
        <w:widowControl w:val="0"/>
        <w:jc w:val="both"/>
        <w:rPr>
          <w:sz w:val="20"/>
          <w:szCs w:val="20"/>
        </w:rPr>
      </w:pPr>
      <w:r>
        <w:t>Pour les marchés comportant plusieurs tranches, le Maître d’Ouvrage ou le Maître d’Ouvrage Délégué procèdera à la réception provisoire des travaux de la tranche considérée. Cette réception conditionnera le début de la tranche conditionnelle suivante.</w:t>
      </w:r>
    </w:p>
    <w:p>
      <w:pPr>
        <w:pStyle w:val="3"/>
        <w:widowControl w:val="0"/>
        <w:jc w:val="both"/>
        <w:rPr>
          <w:sz w:val="10"/>
          <w:szCs w:val="10"/>
        </w:rPr>
      </w:pPr>
    </w:p>
    <w:p>
      <w:pPr>
        <w:pStyle w:val="3"/>
        <w:widowControl w:val="0"/>
        <w:jc w:val="both"/>
        <w:rPr>
          <w:b/>
          <w:i/>
          <w:smallCaps/>
        </w:rPr>
      </w:pPr>
      <w: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pPr>
        <w:pStyle w:val="3"/>
        <w:widowControl w:val="0"/>
        <w:jc w:val="both"/>
        <w:rPr>
          <w:sz w:val="10"/>
          <w:szCs w:val="10"/>
        </w:rPr>
      </w:pPr>
    </w:p>
    <w:p>
      <w:pPr>
        <w:pStyle w:val="3"/>
        <w:widowControl w:val="0"/>
        <w:tabs>
          <w:tab w:val="left" w:pos="3620"/>
        </w:tabs>
        <w:ind w:right="102"/>
        <w:jc w:val="both"/>
        <w:rPr>
          <w:b/>
          <w:i/>
          <w:smallCaps/>
        </w:rPr>
      </w:pPr>
      <w:r>
        <w:t>Pour être valable, le procès-verbal de réception doit être signé par les deux tiers (2/3) au moins des membres dont le Président.</w:t>
      </w:r>
    </w:p>
    <w:p>
      <w:pPr>
        <w:pStyle w:val="3"/>
        <w:widowControl w:val="0"/>
        <w:tabs>
          <w:tab w:val="left" w:pos="3620"/>
        </w:tabs>
        <w:ind w:right="102"/>
        <w:jc w:val="both"/>
        <w:rPr>
          <w:sz w:val="10"/>
          <w:szCs w:val="10"/>
        </w:rPr>
      </w:pPr>
    </w:p>
    <w:p>
      <w:pPr>
        <w:pStyle w:val="3"/>
        <w:widowControl w:val="0"/>
        <w:jc w:val="both"/>
        <w:rPr>
          <w:b/>
          <w:sz w:val="20"/>
          <w:szCs w:val="20"/>
        </w:rPr>
      </w:pPr>
      <w:bookmarkStart w:id="137" w:name="_17nz8yj" w:colFirst="0" w:colLast="0"/>
      <w:bookmarkEnd w:id="137"/>
      <w:r>
        <w:rPr>
          <w:b/>
        </w:rPr>
        <w:t>24.3. Composition de la commission de réception</w:t>
      </w:r>
    </w:p>
    <w:p>
      <w:pPr>
        <w:pStyle w:val="3"/>
        <w:widowControl w:val="0"/>
        <w:jc w:val="both"/>
        <w:rPr>
          <w:b/>
          <w:i/>
          <w:smallCaps/>
        </w:rPr>
      </w:pPr>
      <w:r>
        <w:t>La Commission de réception sera composée des membres suivants [à titre indicatif] :</w:t>
      </w:r>
    </w:p>
    <w:p>
      <w:pPr>
        <w:pStyle w:val="3"/>
        <w:widowControl w:val="0"/>
        <w:numPr>
          <w:ilvl w:val="0"/>
          <w:numId w:val="52"/>
        </w:numPr>
        <w:jc w:val="both"/>
        <w:rPr>
          <w:color w:val="000000"/>
          <w:sz w:val="22"/>
          <w:szCs w:val="22"/>
        </w:rPr>
      </w:pPr>
      <w:r>
        <w:rPr>
          <w:b/>
          <w:color w:val="000000"/>
          <w:sz w:val="22"/>
          <w:szCs w:val="22"/>
        </w:rPr>
        <w:t xml:space="preserve">Président </w:t>
      </w:r>
      <w:r>
        <w:rPr>
          <w:color w:val="000000"/>
          <w:sz w:val="22"/>
          <w:szCs w:val="22"/>
        </w:rPr>
        <w:t>: Le Maitre d’Ouvrage ou son représentant ;</w:t>
      </w:r>
    </w:p>
    <w:p>
      <w:pPr>
        <w:pStyle w:val="3"/>
        <w:widowControl w:val="0"/>
        <w:numPr>
          <w:ilvl w:val="0"/>
          <w:numId w:val="52"/>
        </w:numPr>
        <w:jc w:val="both"/>
        <w:rPr>
          <w:color w:val="000000"/>
          <w:sz w:val="22"/>
          <w:szCs w:val="22"/>
        </w:rPr>
      </w:pPr>
      <w:r>
        <w:rPr>
          <w:b/>
          <w:color w:val="000000"/>
          <w:sz w:val="22"/>
          <w:szCs w:val="22"/>
        </w:rPr>
        <w:t>Rapporteur</w:t>
      </w:r>
      <w:r>
        <w:rPr>
          <w:color w:val="000000"/>
          <w:sz w:val="22"/>
          <w:szCs w:val="22"/>
        </w:rPr>
        <w:t xml:space="preserve"> : l’Ingénieur du marché;</w:t>
      </w:r>
    </w:p>
    <w:p>
      <w:pPr>
        <w:pStyle w:val="3"/>
        <w:widowControl w:val="0"/>
        <w:numPr>
          <w:ilvl w:val="0"/>
          <w:numId w:val="52"/>
        </w:numPr>
        <w:jc w:val="both"/>
        <w:rPr>
          <w:b/>
          <w:color w:val="000000"/>
          <w:sz w:val="22"/>
          <w:szCs w:val="22"/>
        </w:rPr>
      </w:pPr>
      <w:r>
        <w:rPr>
          <w:b/>
          <w:color w:val="000000"/>
          <w:sz w:val="22"/>
          <w:szCs w:val="22"/>
        </w:rPr>
        <w:t>Membres :</w:t>
      </w:r>
    </w:p>
    <w:p>
      <w:pPr>
        <w:pStyle w:val="3"/>
        <w:widowControl w:val="0"/>
        <w:numPr>
          <w:ilvl w:val="0"/>
          <w:numId w:val="53"/>
        </w:numPr>
        <w:ind w:left="720"/>
        <w:jc w:val="both"/>
        <w:rPr>
          <w:color w:val="000000"/>
          <w:sz w:val="22"/>
          <w:szCs w:val="22"/>
        </w:rPr>
      </w:pPr>
      <w:r>
        <w:rPr>
          <w:color w:val="000000"/>
          <w:sz w:val="22"/>
          <w:szCs w:val="22"/>
        </w:rPr>
        <w:t>Le Chef de Service du marché ou son représentant ;</w:t>
      </w:r>
    </w:p>
    <w:p>
      <w:pPr>
        <w:pStyle w:val="3"/>
        <w:widowControl w:val="0"/>
        <w:numPr>
          <w:ilvl w:val="0"/>
          <w:numId w:val="53"/>
        </w:numPr>
        <w:ind w:left="720"/>
        <w:jc w:val="both"/>
        <w:rPr>
          <w:color w:val="000000"/>
          <w:sz w:val="22"/>
          <w:szCs w:val="22"/>
        </w:rPr>
      </w:pPr>
      <w:r>
        <w:rPr>
          <w:color w:val="000000"/>
          <w:sz w:val="22"/>
          <w:szCs w:val="22"/>
        </w:rPr>
        <w:t xml:space="preserve">Le comptable matière du Maître d’Ouvrage conformément à la circulaire portant application de la loi des finances de l’année 2025. </w:t>
      </w:r>
    </w:p>
    <w:p>
      <w:pPr>
        <w:pStyle w:val="3"/>
        <w:numPr>
          <w:ilvl w:val="0"/>
          <w:numId w:val="53"/>
        </w:numPr>
        <w:ind w:left="720"/>
        <w:rPr>
          <w:color w:val="000000"/>
          <w:sz w:val="22"/>
          <w:szCs w:val="22"/>
        </w:rPr>
      </w:pPr>
      <w:r>
        <w:rPr>
          <w:color w:val="000000"/>
          <w:sz w:val="22"/>
          <w:szCs w:val="22"/>
        </w:rPr>
        <w:t xml:space="preserve">Le chef de village de la localité; </w:t>
      </w:r>
    </w:p>
    <w:p>
      <w:pPr>
        <w:pStyle w:val="3"/>
        <w:widowControl w:val="0"/>
        <w:numPr>
          <w:ilvl w:val="0"/>
          <w:numId w:val="54"/>
        </w:numPr>
        <w:jc w:val="both"/>
        <w:rPr>
          <w:color w:val="000000"/>
          <w:sz w:val="22"/>
          <w:szCs w:val="22"/>
        </w:rPr>
      </w:pPr>
      <w:r>
        <w:rPr>
          <w:b/>
          <w:color w:val="000000"/>
          <w:sz w:val="22"/>
          <w:szCs w:val="22"/>
        </w:rPr>
        <w:t xml:space="preserve">Observateur </w:t>
      </w:r>
      <w:r>
        <w:rPr>
          <w:color w:val="000000"/>
          <w:sz w:val="22"/>
          <w:szCs w:val="22"/>
        </w:rPr>
        <w:t xml:space="preserve">: Le représentant du MINMAP ; </w:t>
      </w:r>
    </w:p>
    <w:p>
      <w:pPr>
        <w:pStyle w:val="3"/>
        <w:widowControl w:val="0"/>
        <w:numPr>
          <w:ilvl w:val="0"/>
          <w:numId w:val="54"/>
        </w:numPr>
        <w:jc w:val="both"/>
        <w:rPr>
          <w:color w:val="000000"/>
          <w:sz w:val="22"/>
          <w:szCs w:val="22"/>
        </w:rPr>
      </w:pPr>
      <w:r>
        <w:rPr>
          <w:b/>
          <w:color w:val="000000"/>
          <w:sz w:val="22"/>
          <w:szCs w:val="22"/>
        </w:rPr>
        <w:t>Invité :</w:t>
      </w:r>
      <w:r>
        <w:rPr>
          <w:color w:val="000000"/>
          <w:sz w:val="22"/>
          <w:szCs w:val="22"/>
        </w:rPr>
        <w:t xml:space="preserve"> Le Cocontractant ;</w:t>
      </w:r>
    </w:p>
    <w:p>
      <w:pPr>
        <w:pStyle w:val="3"/>
        <w:widowControl w:val="0"/>
        <w:jc w:val="both"/>
        <w:rPr>
          <w:color w:val="ED7D31"/>
          <w:sz w:val="20"/>
          <w:szCs w:val="20"/>
        </w:rPr>
      </w:pPr>
      <w: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pPr>
        <w:pStyle w:val="3"/>
        <w:widowControl w:val="0"/>
        <w:jc w:val="both"/>
        <w:rPr>
          <w:sz w:val="10"/>
          <w:szCs w:val="10"/>
        </w:rPr>
      </w:pPr>
    </w:p>
    <w:p>
      <w:pPr>
        <w:pStyle w:val="3"/>
        <w:widowControl w:val="0"/>
        <w:jc w:val="both"/>
        <w:rPr>
          <w:i/>
          <w:sz w:val="20"/>
          <w:szCs w:val="20"/>
        </w:rPr>
      </w:pPr>
      <w:r>
        <w:rPr>
          <w:b/>
        </w:rPr>
        <w:t>24.4. Réceptions partielles</w:t>
      </w:r>
      <w:r>
        <w:t xml:space="preserve"> </w:t>
      </w:r>
    </w:p>
    <w:p>
      <w:pPr>
        <w:pStyle w:val="3"/>
        <w:widowControl w:val="0"/>
        <w:jc w:val="both"/>
        <w:rPr>
          <w:i/>
          <w:sz w:val="20"/>
          <w:szCs w:val="20"/>
        </w:rPr>
      </w:pPr>
      <w:bookmarkStart w:id="138" w:name="_3rnmrmc" w:colFirst="0" w:colLast="0"/>
      <w:bookmarkEnd w:id="138"/>
      <w:r>
        <w:rPr>
          <w:i/>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p>
      <w:pPr>
        <w:pStyle w:val="3"/>
        <w:widowControl w:val="0"/>
        <w:jc w:val="both"/>
        <w:rPr>
          <w:sz w:val="10"/>
          <w:szCs w:val="10"/>
        </w:rPr>
      </w:pPr>
      <w:r>
        <w:t xml:space="preserve"> </w:t>
      </w:r>
    </w:p>
    <w:p>
      <w:pPr>
        <w:pStyle w:val="3"/>
        <w:widowControl w:val="0"/>
        <w:jc w:val="both"/>
        <w:rPr>
          <w:i/>
          <w:sz w:val="20"/>
          <w:szCs w:val="20"/>
        </w:rPr>
      </w:pPr>
      <w:r>
        <w:rPr>
          <w:b/>
        </w:rPr>
        <w:t>24.5. Début de la période de garantie</w:t>
      </w:r>
      <w:r>
        <w:t xml:space="preserve"> </w:t>
      </w:r>
      <w:r>
        <w:rPr>
          <w:i/>
        </w:rPr>
        <w:t>( la période de garantie commence  à la date de cette réception provisoire )</w:t>
      </w:r>
    </w:p>
    <w:p>
      <w:pPr>
        <w:pStyle w:val="3"/>
        <w:widowControl w:val="0"/>
        <w:jc w:val="both"/>
        <w:rPr>
          <w:i/>
          <w:sz w:val="10"/>
          <w:szCs w:val="10"/>
        </w:rPr>
      </w:pPr>
    </w:p>
    <w:p>
      <w:pPr>
        <w:pStyle w:val="3"/>
        <w:widowControl w:val="0"/>
        <w:jc w:val="both"/>
        <w:rPr>
          <w:b/>
          <w:sz w:val="20"/>
          <w:szCs w:val="20"/>
        </w:rPr>
      </w:pPr>
      <w:r>
        <w:rPr>
          <w:b/>
        </w:rPr>
        <w:t>24.6. Prise de possession des ouvrages</w:t>
      </w:r>
    </w:p>
    <w:p>
      <w:pPr>
        <w:pStyle w:val="3"/>
        <w:widowControl w:val="0"/>
        <w:jc w:val="both"/>
        <w:rPr>
          <w:b/>
          <w:i/>
          <w:smallCaps/>
        </w:rPr>
      </w:pPr>
      <w: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pPr>
        <w:pStyle w:val="3"/>
        <w:widowControl w:val="0"/>
        <w:jc w:val="both"/>
        <w:rPr>
          <w:sz w:val="10"/>
          <w:szCs w:val="10"/>
        </w:rPr>
      </w:pPr>
    </w:p>
    <w:p>
      <w:pPr>
        <w:pStyle w:val="3"/>
        <w:widowControl w:val="0"/>
        <w:jc w:val="both"/>
        <w:rPr>
          <w:b/>
          <w:sz w:val="20"/>
          <w:szCs w:val="20"/>
        </w:rPr>
      </w:pPr>
      <w:bookmarkStart w:id="139" w:name="_26sx1u5" w:colFirst="0" w:colLast="0"/>
      <w:bookmarkEnd w:id="139"/>
      <w:r>
        <w:rPr>
          <w:b/>
        </w:rPr>
        <w:t xml:space="preserve">24.7 : Rejet </w:t>
      </w:r>
    </w:p>
    <w:p>
      <w:pPr>
        <w:pStyle w:val="3"/>
        <w:widowControl w:val="0"/>
        <w:jc w:val="both"/>
        <w:rPr>
          <w:b/>
          <w:i/>
          <w:smallCaps/>
        </w:rPr>
      </w:pPr>
      <w: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pPr>
        <w:pStyle w:val="3"/>
        <w:widowControl w:val="0"/>
        <w:jc w:val="both"/>
        <w:rPr>
          <w:b/>
          <w:i/>
          <w:smallCaps/>
        </w:rPr>
      </w:pPr>
      <w: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pPr>
        <w:pStyle w:val="3"/>
        <w:widowControl w:val="0"/>
        <w:jc w:val="both"/>
        <w:rPr>
          <w:b/>
          <w:i/>
          <w:smallCaps/>
        </w:rPr>
      </w:pPr>
      <w:r>
        <w:t xml:space="preserve"> En cas de rejet, le Cocontractant est tenu de rembourser les avances et acomptes déjà perçus.</w:t>
      </w:r>
    </w:p>
    <w:p>
      <w:pPr>
        <w:pStyle w:val="3"/>
        <w:widowControl w:val="0"/>
        <w:jc w:val="both"/>
        <w:rPr>
          <w:b/>
          <w:sz w:val="10"/>
          <w:szCs w:val="10"/>
          <w:u w:val="single"/>
        </w:rPr>
      </w:pPr>
    </w:p>
    <w:p>
      <w:pPr>
        <w:pStyle w:val="3"/>
        <w:keepNext/>
        <w:jc w:val="both"/>
        <w:rPr>
          <w:color w:val="000000"/>
        </w:rPr>
      </w:pPr>
      <w:bookmarkStart w:id="140" w:name="_i17xr6" w:colFirst="0" w:colLast="0"/>
      <w:bookmarkEnd w:id="140"/>
      <w:r>
        <w:rPr>
          <w:color w:val="000000"/>
        </w:rPr>
        <w:t xml:space="preserve">Article 25- Documents à fournir après exécution </w:t>
      </w:r>
    </w:p>
    <w:p>
      <w:pPr>
        <w:pStyle w:val="3"/>
        <w:widowControl w:val="0"/>
        <w:jc w:val="both"/>
        <w:rPr>
          <w:b/>
          <w:i/>
          <w:smallCaps/>
        </w:rPr>
      </w:pPr>
      <w:r>
        <w:t>Le Cocontractant remettra à l’ingénieur du marché dans les trente jours suivants la date de réception provisoire de l’ensemble des travaux, le plan de récolement.</w:t>
      </w:r>
    </w:p>
    <w:p>
      <w:pPr>
        <w:pStyle w:val="3"/>
        <w:widowControl w:val="0"/>
        <w:jc w:val="both"/>
        <w:rPr>
          <w:i/>
          <w:sz w:val="10"/>
          <w:szCs w:val="10"/>
        </w:rPr>
      </w:pPr>
    </w:p>
    <w:p>
      <w:pPr>
        <w:pStyle w:val="3"/>
        <w:keepNext/>
        <w:jc w:val="both"/>
        <w:rPr>
          <w:color w:val="000000"/>
        </w:rPr>
      </w:pPr>
      <w:bookmarkStart w:id="141" w:name="_320vgez" w:colFirst="0" w:colLast="0"/>
      <w:bookmarkEnd w:id="141"/>
      <w:r>
        <w:rPr>
          <w:color w:val="000000"/>
        </w:rPr>
        <w:t xml:space="preserve">Article 26- Garantie contractuelle / Entretien pendant la période de garantie </w:t>
      </w:r>
    </w:p>
    <w:p>
      <w:pPr>
        <w:pStyle w:val="3"/>
        <w:widowControl w:val="0"/>
        <w:jc w:val="both"/>
        <w:rPr>
          <w:b/>
          <w:sz w:val="20"/>
          <w:szCs w:val="20"/>
        </w:rPr>
      </w:pPr>
      <w:r>
        <w:rPr>
          <w:b/>
        </w:rPr>
        <w:t>26.1. Délai de garantie</w:t>
      </w:r>
    </w:p>
    <w:p>
      <w:pPr>
        <w:pStyle w:val="3"/>
        <w:widowControl w:val="0"/>
        <w:jc w:val="both"/>
        <w:rPr>
          <w:b/>
          <w:i/>
          <w:smallCaps/>
        </w:rPr>
      </w:pPr>
      <w:r>
        <w:t>La durée de garantie est d’un an</w:t>
      </w:r>
      <w:r>
        <w:rPr>
          <w:i/>
        </w:rPr>
        <w:t xml:space="preserve"> </w:t>
      </w:r>
      <w:r>
        <w:t xml:space="preserve">à compter de la date de réception provisoire des travaux </w:t>
      </w:r>
    </w:p>
    <w:p>
      <w:pPr>
        <w:pStyle w:val="3"/>
        <w:widowControl w:val="0"/>
        <w:jc w:val="both"/>
        <w:rPr>
          <w:b/>
          <w:sz w:val="20"/>
          <w:szCs w:val="20"/>
        </w:rPr>
      </w:pPr>
      <w:r>
        <w:t>.</w:t>
      </w:r>
      <w:r>
        <w:rPr>
          <w:b/>
        </w:rPr>
        <w:t>26.2. Entretien pendant la période de garantie</w:t>
      </w:r>
    </w:p>
    <w:p>
      <w:pPr>
        <w:pStyle w:val="3"/>
        <w:widowControl w:val="0"/>
        <w:jc w:val="both"/>
        <w:rPr>
          <w:b/>
          <w:i/>
          <w:smallCaps/>
        </w:rPr>
      </w:pPr>
      <w: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pPr>
        <w:pStyle w:val="3"/>
        <w:widowControl w:val="0"/>
        <w:jc w:val="both"/>
        <w:rPr>
          <w:color w:val="ED7D31"/>
          <w:sz w:val="10"/>
          <w:szCs w:val="10"/>
        </w:rPr>
      </w:pPr>
    </w:p>
    <w:p>
      <w:pPr>
        <w:pStyle w:val="3"/>
        <w:widowControl w:val="0"/>
        <w:jc w:val="both"/>
        <w:rPr>
          <w:b/>
          <w:i/>
          <w:smallCaps/>
        </w:rPr>
      </w:pPr>
      <w: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pPr>
        <w:pStyle w:val="3"/>
        <w:widowControl w:val="0"/>
        <w:jc w:val="both"/>
        <w:rPr>
          <w:sz w:val="10"/>
          <w:szCs w:val="10"/>
        </w:rPr>
      </w:pPr>
    </w:p>
    <w:p>
      <w:pPr>
        <w:pStyle w:val="3"/>
        <w:keepNext/>
        <w:jc w:val="both"/>
        <w:rPr>
          <w:color w:val="000000"/>
        </w:rPr>
      </w:pPr>
      <w:bookmarkStart w:id="142" w:name="_ly7c1y" w:colFirst="0" w:colLast="0"/>
      <w:bookmarkEnd w:id="142"/>
      <w:r>
        <w:rPr>
          <w:color w:val="000000"/>
        </w:rPr>
        <w:t>Article 27- Réception définitive</w:t>
      </w:r>
    </w:p>
    <w:p>
      <w:pPr>
        <w:pStyle w:val="3"/>
        <w:widowControl w:val="0"/>
        <w:jc w:val="both"/>
        <w:rPr>
          <w:b/>
          <w:i/>
          <w:smallCaps/>
        </w:rPr>
      </w:pPr>
      <w:r>
        <w:t xml:space="preserve">27.1. La réception définitive s’effectuera dans un délai maximal </w:t>
      </w:r>
      <w:r>
        <w:rPr>
          <w:i/>
        </w:rPr>
        <w:t xml:space="preserve">de quinze (15) jours </w:t>
      </w:r>
      <w:r>
        <w:t>à compter de l’expiration du délai de garantie.</w:t>
      </w:r>
    </w:p>
    <w:p>
      <w:pPr>
        <w:pStyle w:val="3"/>
        <w:widowControl w:val="0"/>
        <w:jc w:val="both"/>
        <w:rPr>
          <w:sz w:val="10"/>
          <w:szCs w:val="10"/>
        </w:rPr>
      </w:pPr>
    </w:p>
    <w:p>
      <w:pPr>
        <w:pStyle w:val="3"/>
        <w:widowControl w:val="0"/>
        <w:jc w:val="both"/>
        <w:rPr>
          <w:b/>
          <w:i/>
          <w:smallCaps/>
        </w:rPr>
      </w:pPr>
      <w:r>
        <w:t>27.3. La composition et la procédure de réception définitive sont la même que celles de la réception provisoire.</w:t>
      </w:r>
    </w:p>
    <w:p>
      <w:pPr>
        <w:pStyle w:val="3"/>
        <w:widowControl w:val="0"/>
        <w:jc w:val="both"/>
        <w:rPr>
          <w:sz w:val="10"/>
          <w:szCs w:val="10"/>
        </w:rPr>
      </w:pPr>
    </w:p>
    <w:p>
      <w:pPr>
        <w:pStyle w:val="3"/>
        <w:widowControl w:val="0"/>
        <w:jc w:val="both"/>
        <w:rPr>
          <w:b/>
          <w:i/>
          <w:smallCaps/>
        </w:rPr>
      </w:pPr>
      <w:r>
        <w:t>27.4- Le marché est clôturé définitivement dans les conditions fixées à. l’article 38 alinéa 4 du présent CCAP</w:t>
      </w:r>
      <w:r>
        <w:rPr>
          <w:i/>
        </w:rPr>
        <w:t xml:space="preserve"> concernant le</w:t>
      </w:r>
      <w:r>
        <w:rPr>
          <w:b/>
          <w:i/>
        </w:rPr>
        <w:t xml:space="preserve"> </w:t>
      </w:r>
      <w:r>
        <w:rPr>
          <w:i/>
        </w:rPr>
        <w:t>Décompte général et définitif.</w:t>
      </w:r>
    </w:p>
    <w:p>
      <w:pPr>
        <w:pStyle w:val="3"/>
        <w:widowControl w:val="0"/>
        <w:jc w:val="both"/>
        <w:rPr>
          <w:sz w:val="10"/>
          <w:szCs w:val="10"/>
        </w:rPr>
      </w:pPr>
    </w:p>
    <w:p>
      <w:pPr>
        <w:pStyle w:val="3"/>
        <w:keepNext/>
        <w:jc w:val="both"/>
        <w:rPr>
          <w:color w:val="000000"/>
        </w:rPr>
      </w:pPr>
      <w:bookmarkStart w:id="143" w:name="_415t9al" w:colFirst="0" w:colLast="0"/>
      <w:bookmarkEnd w:id="143"/>
      <w:r>
        <w:rPr>
          <w:color w:val="000000"/>
        </w:rPr>
        <w:t>Article 28- Garantie légale</w:t>
      </w:r>
    </w:p>
    <w:p>
      <w:pPr>
        <w:pStyle w:val="3"/>
        <w:widowControl w:val="0"/>
        <w:jc w:val="both"/>
        <w:rPr>
          <w:b/>
          <w:i/>
          <w:smallCaps/>
        </w:rPr>
      </w:pPr>
      <w:r>
        <w:t xml:space="preserve">Le cocontractant est responsable de plein droit pendant un (01) ans envers le Maître d’ouvrage, à compter de la réception provisoire, des dommages qui compromettent la solidité de l’ouvrage ou qui l’affectent dans l’un de ses éléments constitutifs </w:t>
      </w:r>
    </w:p>
    <w:p>
      <w:pPr>
        <w:pStyle w:val="3"/>
        <w:widowControl w:val="0"/>
        <w:jc w:val="both"/>
        <w:rPr>
          <w:b/>
          <w:i/>
          <w:smallCaps/>
        </w:rPr>
      </w:pPr>
      <w:r>
        <w:t>A cette fin, il devra recruter un Bureau de Contrôle Technique (BCT) agréé chargé de l’expertise des travaux en vue d’une assurance décennale.</w:t>
      </w:r>
    </w:p>
    <w:p>
      <w:pPr>
        <w:pStyle w:val="3"/>
        <w:widowControl w:val="0"/>
        <w:jc w:val="both"/>
        <w:rPr>
          <w:b/>
          <w:sz w:val="10"/>
          <w:szCs w:val="10"/>
        </w:rPr>
      </w:pPr>
    </w:p>
    <w:p>
      <w:pPr>
        <w:pStyle w:val="3"/>
        <w:keepNext/>
        <w:numPr>
          <w:ilvl w:val="0"/>
          <w:numId w:val="40"/>
        </w:numPr>
        <w:ind w:left="714" w:hanging="357"/>
        <w:jc w:val="center"/>
      </w:pPr>
      <w:bookmarkStart w:id="144" w:name="_35xuupr" w:colFirst="0" w:colLast="0"/>
      <w:bookmarkEnd w:id="144"/>
      <w:r>
        <w:rPr>
          <w:smallCaps/>
          <w:color w:val="000000"/>
          <w:sz w:val="32"/>
          <w:szCs w:val="32"/>
        </w:rPr>
        <w:t>CLAUSES FINANCIÈRES</w:t>
      </w:r>
    </w:p>
    <w:p>
      <w:pPr>
        <w:pStyle w:val="3"/>
        <w:keepNext/>
        <w:jc w:val="both"/>
        <w:rPr>
          <w:color w:val="000000"/>
        </w:rPr>
      </w:pPr>
      <w:bookmarkStart w:id="145" w:name="_1l354xk" w:colFirst="0" w:colLast="0"/>
      <w:bookmarkEnd w:id="145"/>
      <w:r>
        <w:rPr>
          <w:color w:val="000000"/>
        </w:rPr>
        <w:t>Article 29- Montant du marché</w:t>
      </w:r>
    </w:p>
    <w:p>
      <w:pPr>
        <w:pStyle w:val="3"/>
        <w:widowControl w:val="0"/>
        <w:jc w:val="both"/>
        <w:rPr>
          <w:b/>
          <w:i/>
          <w:smallCaps/>
        </w:rPr>
      </w:pPr>
      <w:r>
        <w:t>Le montant du présent marché, tel qu’il ressort du [détail ou devis estimatif] est de : ______ (en chiffres)</w:t>
      </w:r>
      <w:r>
        <w:rPr>
          <w:u w:val="single"/>
        </w:rPr>
        <w:tab/>
      </w:r>
      <w:r>
        <w:t>(en lettres) francs CFA Toutes Taxes Comprises (TTC); soit:</w:t>
      </w:r>
    </w:p>
    <w:p>
      <w:pPr>
        <w:pStyle w:val="3"/>
        <w:widowControl w:val="0"/>
        <w:numPr>
          <w:ilvl w:val="0"/>
          <w:numId w:val="21"/>
        </w:numPr>
        <w:ind w:left="567" w:hanging="283"/>
        <w:jc w:val="both"/>
        <w:rPr>
          <w:i/>
          <w:smallCaps/>
        </w:rPr>
      </w:pPr>
      <w:r>
        <w:t>Montant HTVA : ________ (____) francs CFA ;</w:t>
      </w:r>
    </w:p>
    <w:p>
      <w:pPr>
        <w:pStyle w:val="3"/>
        <w:widowControl w:val="0"/>
        <w:numPr>
          <w:ilvl w:val="0"/>
          <w:numId w:val="21"/>
        </w:numPr>
        <w:ind w:left="567" w:hanging="283"/>
        <w:jc w:val="both"/>
        <w:rPr>
          <w:i/>
          <w:smallCaps/>
        </w:rPr>
      </w:pPr>
      <w:r>
        <w:t>Montant de la TVA : ________ (___) francs CFA</w:t>
      </w:r>
    </w:p>
    <w:p>
      <w:pPr>
        <w:pStyle w:val="3"/>
        <w:widowControl w:val="0"/>
        <w:numPr>
          <w:ilvl w:val="0"/>
          <w:numId w:val="21"/>
        </w:numPr>
        <w:ind w:left="567" w:hanging="283"/>
        <w:jc w:val="both"/>
        <w:rPr>
          <w:i/>
          <w:smallCaps/>
        </w:rPr>
      </w:pPr>
      <w:r>
        <w:t>Montant de l’AIR : ____ (___) francs CFA</w:t>
      </w:r>
    </w:p>
    <w:p>
      <w:pPr>
        <w:pStyle w:val="3"/>
        <w:widowControl w:val="0"/>
        <w:numPr>
          <w:ilvl w:val="0"/>
          <w:numId w:val="21"/>
        </w:numPr>
        <w:ind w:left="567" w:hanging="283"/>
        <w:jc w:val="both"/>
        <w:rPr>
          <w:i/>
          <w:smallCaps/>
        </w:rPr>
      </w:pPr>
      <w:r>
        <w:t>Montant de la TSR, le cas échéant : ------------- (___) francs CFA [</w:t>
      </w:r>
      <w:r>
        <w:rPr>
          <w:i/>
        </w:rPr>
        <w:t>n’est applicable que pour les marchés passés avec les cocontractants dont le siège est basé à l’étranger</w:t>
      </w:r>
      <w:r>
        <w:t>] ;</w:t>
      </w:r>
    </w:p>
    <w:p>
      <w:pPr>
        <w:pStyle w:val="3"/>
        <w:widowControl w:val="0"/>
        <w:numPr>
          <w:ilvl w:val="0"/>
          <w:numId w:val="21"/>
        </w:numPr>
        <w:ind w:left="567" w:hanging="283"/>
        <w:jc w:val="both"/>
        <w:rPr>
          <w:i/>
          <w:smallCaps/>
        </w:rPr>
      </w:pPr>
      <w:r>
        <w:t>Net à percevoir = Montant net déduit de tous les impôts et taxes : ___ (___) francs CFA.</w:t>
      </w:r>
    </w:p>
    <w:p>
      <w:pPr>
        <w:pStyle w:val="3"/>
        <w:widowControl w:val="0"/>
        <w:jc w:val="both"/>
        <w:rPr>
          <w:sz w:val="10"/>
          <w:szCs w:val="10"/>
        </w:rPr>
      </w:pPr>
    </w:p>
    <w:p>
      <w:pPr>
        <w:pStyle w:val="3"/>
        <w:keepNext/>
        <w:jc w:val="both"/>
        <w:rPr>
          <w:color w:val="000000"/>
        </w:rPr>
      </w:pPr>
      <w:bookmarkStart w:id="146" w:name="_452snld" w:colFirst="0" w:colLast="0"/>
      <w:bookmarkEnd w:id="146"/>
      <w:r>
        <w:rPr>
          <w:color w:val="000000"/>
        </w:rPr>
        <w:t>Article 30- Lieu et mode de paiement</w:t>
      </w:r>
    </w:p>
    <w:p>
      <w:pPr>
        <w:pStyle w:val="3"/>
        <w:widowControl w:val="0"/>
        <w:jc w:val="both"/>
        <w:rPr>
          <w:color w:val="000000"/>
          <w:sz w:val="20"/>
          <w:szCs w:val="20"/>
        </w:rPr>
      </w:pPr>
      <w:r>
        <w:rPr>
          <w:color w:val="00000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pPr>
        <w:pStyle w:val="3"/>
        <w:widowControl w:val="0"/>
        <w:jc w:val="both"/>
        <w:rPr>
          <w:b/>
          <w:i/>
          <w:smallCaps/>
        </w:rPr>
      </w:pPr>
      <w:r>
        <w:t xml:space="preserve"> Le Maître d’Ouvrage se libérera des sommes dues par virement bancaire au nom du cocontractant de la manière suivante : </w:t>
      </w:r>
    </w:p>
    <w:p>
      <w:pPr>
        <w:pStyle w:val="3"/>
        <w:widowControl w:val="0"/>
        <w:jc w:val="both"/>
        <w:rPr>
          <w:b/>
          <w:i/>
          <w:smallCaps/>
        </w:rPr>
      </w:pPr>
      <w:r>
        <w:rPr>
          <w:i/>
        </w:rPr>
        <w:t>[La domiciliation bancaire devra être la même que celle du cautionnement définitif]</w:t>
      </w:r>
    </w:p>
    <w:p>
      <w:pPr>
        <w:pStyle w:val="3"/>
        <w:widowControl w:val="0"/>
        <w:numPr>
          <w:ilvl w:val="0"/>
          <w:numId w:val="55"/>
        </w:numPr>
        <w:jc w:val="both"/>
        <w:rPr>
          <w:color w:val="000000"/>
        </w:rPr>
      </w:pPr>
      <w:r>
        <w:rPr>
          <w:color w:val="000000"/>
        </w:rPr>
        <w:t xml:space="preserve">Pour les règlements en francs CFA, soit </w:t>
      </w:r>
      <w:r>
        <w:rPr>
          <w:i/>
          <w:color w:val="000000"/>
        </w:rPr>
        <w:t>(montant net à mandater en chiffres et en lettres)</w:t>
      </w:r>
      <w:r>
        <w:rPr>
          <w:color w:val="000000"/>
        </w:rPr>
        <w:t>, par crédit au compte n° _________ ouvert au nom du co-contractant à la banque______________</w:t>
      </w:r>
    </w:p>
    <w:p>
      <w:pPr>
        <w:pStyle w:val="3"/>
        <w:widowControl w:val="0"/>
        <w:numPr>
          <w:ilvl w:val="0"/>
          <w:numId w:val="55"/>
        </w:numPr>
        <w:jc w:val="both"/>
        <w:rPr>
          <w:color w:val="000000"/>
        </w:rPr>
      </w:pPr>
      <w:r>
        <w:rPr>
          <w:color w:val="000000"/>
        </w:rPr>
        <w:t>Pour les règlements en devises, (le cas échéant) soit (montant net à mandater en chiffres et en lettres), par crédit au compte n° _________ouvert au nom du cocontractant à la banque______________.</w:t>
      </w:r>
    </w:p>
    <w:p>
      <w:pPr>
        <w:pStyle w:val="3"/>
        <w:widowControl w:val="0"/>
        <w:jc w:val="both"/>
        <w:rPr>
          <w:sz w:val="10"/>
          <w:szCs w:val="10"/>
        </w:rPr>
      </w:pPr>
    </w:p>
    <w:p>
      <w:pPr>
        <w:pStyle w:val="3"/>
        <w:keepNext/>
        <w:jc w:val="both"/>
        <w:rPr>
          <w:color w:val="000000"/>
        </w:rPr>
      </w:pPr>
      <w:bookmarkStart w:id="147" w:name="_2k82xt6" w:colFirst="0" w:colLast="0"/>
      <w:bookmarkEnd w:id="147"/>
      <w:r>
        <w:rPr>
          <w:color w:val="000000"/>
        </w:rPr>
        <w:t xml:space="preserve">Article 31 Garanties et cautions </w:t>
      </w:r>
    </w:p>
    <w:p>
      <w:pPr>
        <w:pStyle w:val="3"/>
        <w:jc w:val="both"/>
        <w:rPr>
          <w:b/>
          <w:i/>
          <w:smallCaps/>
        </w:rPr>
      </w:pPr>
      <w:r>
        <w:t xml:space="preserve">Le cocontractant devra fournir les garanties émanant des banques ou organismes financiers agréés par le Ministre chargé des finances ou ayant un correspondant local agréé. </w:t>
      </w:r>
    </w:p>
    <w:p>
      <w:pPr>
        <w:pStyle w:val="3"/>
        <w:jc w:val="both"/>
        <w:rPr>
          <w:b/>
          <w:i/>
          <w:smallCaps/>
        </w:rPr>
      </w:pPr>
      <w:r>
        <w:t>Les garanties décrites ci-après en faveur du Maître d’Ouvrage  sont exigées dans les délais, pour le montant, selon la manière et sous la forme indiquée ci-après :</w:t>
      </w:r>
    </w:p>
    <w:p>
      <w:pPr>
        <w:pStyle w:val="3"/>
        <w:jc w:val="both"/>
        <w:rPr>
          <w:sz w:val="10"/>
          <w:szCs w:val="10"/>
        </w:rPr>
      </w:pPr>
    </w:p>
    <w:p>
      <w:pPr>
        <w:pStyle w:val="3"/>
        <w:widowControl w:val="0"/>
        <w:jc w:val="both"/>
        <w:rPr>
          <w:b/>
          <w:i/>
          <w:sz w:val="20"/>
          <w:szCs w:val="20"/>
        </w:rPr>
      </w:pPr>
      <w:r>
        <w:rPr>
          <w:b/>
          <w:i/>
        </w:rPr>
        <w:t>31.1. Cautionnement définitif</w:t>
      </w:r>
    </w:p>
    <w:p>
      <w:pPr>
        <w:pStyle w:val="3"/>
        <w:widowControl w:val="0"/>
        <w:numPr>
          <w:ilvl w:val="0"/>
          <w:numId w:val="56"/>
        </w:numPr>
        <w:ind w:left="720"/>
        <w:jc w:val="both"/>
        <w:rPr>
          <w:color w:val="000000"/>
        </w:rPr>
      </w:pPr>
      <w:r>
        <w:rPr>
          <w:color w:val="000000"/>
        </w:rPr>
        <w:t>Il est constitué par le titulaire du Marché et transmis au Chef Service du marché dans un délai maximum de vingt (20) jours calendaires à compter de la date de notification du marché et en tout cas avant le premier paiement.</w:t>
      </w:r>
    </w:p>
    <w:p>
      <w:pPr>
        <w:pStyle w:val="3"/>
        <w:widowControl w:val="0"/>
        <w:ind w:left="927"/>
        <w:jc w:val="both"/>
        <w:rPr>
          <w:color w:val="000000"/>
          <w:sz w:val="10"/>
          <w:szCs w:val="10"/>
        </w:rPr>
      </w:pPr>
    </w:p>
    <w:p>
      <w:pPr>
        <w:pStyle w:val="3"/>
        <w:widowControl w:val="0"/>
        <w:numPr>
          <w:ilvl w:val="0"/>
          <w:numId w:val="56"/>
        </w:numPr>
        <w:ind w:left="720"/>
        <w:jc w:val="both"/>
        <w:rPr>
          <w:rFonts w:ascii="Calibri" w:hAnsi="Calibri" w:eastAsia="Calibri" w:cs="Calibri"/>
          <w:color w:val="000000"/>
          <w:sz w:val="10"/>
          <w:szCs w:val="10"/>
        </w:rPr>
      </w:pPr>
      <w:r>
        <w:rPr>
          <w:color w:val="000000"/>
        </w:rPr>
        <w:t>Son montant est fixé à :</w:t>
      </w:r>
      <w:r>
        <w:rPr>
          <w:i/>
          <w:color w:val="000000"/>
        </w:rPr>
        <w:t xml:space="preserve"> 2% du montant TTC du marché </w:t>
      </w:r>
    </w:p>
    <w:p>
      <w:pPr>
        <w:pStyle w:val="3"/>
        <w:numPr>
          <w:ilvl w:val="0"/>
          <w:numId w:val="56"/>
        </w:numPr>
        <w:ind w:left="720"/>
        <w:jc w:val="both"/>
        <w:rPr>
          <w:color w:val="000000"/>
          <w:sz w:val="10"/>
          <w:szCs w:val="10"/>
        </w:rPr>
      </w:pPr>
      <w:r>
        <w:rPr>
          <w:color w:val="000000"/>
        </w:rPr>
        <w:t xml:space="preserve">La garantie sera libellée dans la monnaie local du Marché, devra suivre l’un des modèles fournis dans le Dossier d’appel d’offres, comme indiqué par le Maître d’ouvrage dans le CCAP, ou tout autre document satisfaisant le Maître d’ouvrage </w:t>
      </w:r>
    </w:p>
    <w:p>
      <w:pPr>
        <w:pStyle w:val="3"/>
        <w:widowControl w:val="0"/>
        <w:numPr>
          <w:ilvl w:val="0"/>
          <w:numId w:val="56"/>
        </w:numPr>
        <w:ind w:left="720"/>
        <w:jc w:val="both"/>
        <w:rPr>
          <w:color w:val="000000"/>
        </w:rPr>
      </w:pPr>
      <w:r>
        <w:rPr>
          <w:color w:val="000000"/>
        </w:rPr>
        <w:t>Les modes de substitution du cautionnement sont prévus à l’article 140 du code des marchés publics.</w:t>
      </w:r>
    </w:p>
    <w:p>
      <w:pPr>
        <w:pStyle w:val="3"/>
        <w:widowControl w:val="0"/>
        <w:jc w:val="both"/>
        <w:rPr>
          <w:sz w:val="10"/>
          <w:szCs w:val="10"/>
        </w:rPr>
      </w:pPr>
    </w:p>
    <w:p>
      <w:pPr>
        <w:pStyle w:val="3"/>
        <w:widowControl w:val="0"/>
        <w:numPr>
          <w:ilvl w:val="0"/>
          <w:numId w:val="56"/>
        </w:numPr>
        <w:ind w:left="720"/>
        <w:jc w:val="both"/>
        <w:rPr>
          <w:color w:val="000000"/>
        </w:rPr>
      </w:pPr>
      <w:bookmarkStart w:id="148" w:name="_zdd80z" w:colFirst="0" w:colLast="0"/>
      <w:bookmarkEnd w:id="148"/>
      <w:r>
        <w:rPr>
          <w:color w:val="000000"/>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pPr>
        <w:pStyle w:val="3"/>
        <w:widowControl w:val="0"/>
        <w:jc w:val="both"/>
        <w:rPr>
          <w:sz w:val="10"/>
          <w:szCs w:val="10"/>
        </w:rPr>
      </w:pPr>
    </w:p>
    <w:p>
      <w:pPr>
        <w:pStyle w:val="3"/>
        <w:widowControl w:val="0"/>
        <w:numPr>
          <w:ilvl w:val="0"/>
          <w:numId w:val="56"/>
        </w:numPr>
        <w:ind w:left="720"/>
        <w:jc w:val="both"/>
        <w:rPr>
          <w:color w:val="000000"/>
        </w:rPr>
      </w:pPr>
      <w:r>
        <w:rPr>
          <w:color w:val="000000"/>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pPr>
        <w:pStyle w:val="3"/>
        <w:widowControl w:val="0"/>
        <w:jc w:val="both"/>
        <w:rPr>
          <w:sz w:val="10"/>
          <w:szCs w:val="10"/>
        </w:rPr>
      </w:pPr>
    </w:p>
    <w:p>
      <w:pPr>
        <w:pStyle w:val="3"/>
        <w:widowControl w:val="0"/>
        <w:jc w:val="both"/>
        <w:rPr>
          <w:b/>
          <w:i/>
          <w:sz w:val="20"/>
          <w:szCs w:val="20"/>
        </w:rPr>
      </w:pPr>
      <w:r>
        <w:rPr>
          <w:b/>
          <w:i/>
        </w:rPr>
        <w:t>31.2. Cautionnement d’avance de démarrage</w:t>
      </w:r>
    </w:p>
    <w:p>
      <w:pPr>
        <w:pStyle w:val="3"/>
        <w:widowControl w:val="0"/>
        <w:jc w:val="both"/>
        <w:rPr>
          <w:b/>
          <w:i/>
          <w:smallCaps/>
        </w:rPr>
      </w:pPr>
      <w:r>
        <w:rPr>
          <w:i/>
        </w:rPr>
        <w:t>Il est de  (20% maximum du montant TTC du marché cautionné à 100% par un établissement bancaire de droit camerounais ou un organisme financier agrée de premier rang conformément à la réglementation en vigueur) et les modalités de restitution de la caution</w:t>
      </w:r>
      <w:r>
        <w:t>.</w:t>
      </w:r>
    </w:p>
    <w:p>
      <w:pPr>
        <w:pStyle w:val="3"/>
        <w:widowControl w:val="0"/>
        <w:jc w:val="both"/>
        <w:rPr>
          <w:sz w:val="10"/>
          <w:szCs w:val="10"/>
        </w:rPr>
      </w:pPr>
    </w:p>
    <w:p>
      <w:pPr>
        <w:pStyle w:val="3"/>
        <w:widowControl w:val="0"/>
        <w:jc w:val="both"/>
        <w:rPr>
          <w:i/>
          <w:sz w:val="20"/>
          <w:szCs w:val="20"/>
        </w:rPr>
      </w:pPr>
      <w:r>
        <w:rPr>
          <w:b/>
          <w:i/>
        </w:rPr>
        <w:t>31.3. Cautionnement de bonne exécution</w:t>
      </w:r>
      <w:r>
        <w:rPr>
          <w:i/>
        </w:rPr>
        <w:t xml:space="preserve"> (en remplacement de la retenue de garantie)</w:t>
      </w:r>
    </w:p>
    <w:p>
      <w:pPr>
        <w:pStyle w:val="3"/>
        <w:widowControl w:val="0"/>
        <w:tabs>
          <w:tab w:val="left" w:pos="5180"/>
        </w:tabs>
        <w:jc w:val="both"/>
        <w:rPr>
          <w:b/>
          <w:i/>
          <w:smallCaps/>
        </w:rPr>
      </w:pPr>
      <w:r>
        <w:rPr>
          <w:i/>
        </w:rPr>
        <w:t>Lorsque le marché est assorti d’une période de garantie ou d’entretien, la retenue de garantie est fixée à 10%maximum du montant TTC du marché augmenté le cas échéant du montant des avenants</w:t>
      </w:r>
      <w:r>
        <w:t>.</w:t>
      </w:r>
    </w:p>
    <w:p>
      <w:pPr>
        <w:pStyle w:val="3"/>
        <w:widowControl w:val="0"/>
        <w:tabs>
          <w:tab w:val="left" w:pos="5180"/>
        </w:tabs>
        <w:jc w:val="both"/>
        <w:rPr>
          <w:sz w:val="10"/>
          <w:szCs w:val="10"/>
        </w:rPr>
      </w:pPr>
    </w:p>
    <w:p>
      <w:pPr>
        <w:pStyle w:val="3"/>
        <w:widowControl w:val="0"/>
        <w:jc w:val="both"/>
        <w:rPr>
          <w:b/>
          <w:i/>
          <w:smallCaps/>
        </w:rPr>
      </w:pPr>
      <w:r>
        <w:t>La restitution de la retenue de garantie ou du cautionnement de bonne exécution sera effectuée à compter de la réception définitive des travaux sur mainlevée délivrée par le Maître d’Ouvrage après expiration du délai de garantie.</w:t>
      </w:r>
    </w:p>
    <w:p>
      <w:pPr>
        <w:pStyle w:val="3"/>
        <w:widowControl w:val="0"/>
        <w:jc w:val="both"/>
        <w:rPr>
          <w:sz w:val="10"/>
          <w:szCs w:val="10"/>
        </w:rPr>
      </w:pPr>
    </w:p>
    <w:p>
      <w:pPr>
        <w:pStyle w:val="3"/>
        <w:widowControl w:val="0"/>
        <w:jc w:val="both"/>
        <w:rPr>
          <w:b/>
          <w:i/>
          <w:smallCaps/>
        </w:rPr>
      </w:pPr>
      <w: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pPr>
        <w:pStyle w:val="3"/>
        <w:widowControl w:val="0"/>
        <w:jc w:val="both"/>
        <w:rPr>
          <w:b/>
          <w:i/>
          <w:smallCaps/>
        </w:rPr>
      </w:pPr>
      <w:r>
        <w:t>Dans ce cas, il ne peut être mis fin à l’engagement de la caution que par main levée délivrée par le Maître d’Ouvrage.</w:t>
      </w:r>
    </w:p>
    <w:p>
      <w:pPr>
        <w:pStyle w:val="3"/>
        <w:widowControl w:val="0"/>
        <w:jc w:val="both"/>
        <w:rPr>
          <w:b/>
          <w:i/>
          <w:smallCaps/>
        </w:rPr>
      </w:pPr>
    </w:p>
    <w:p>
      <w:pPr>
        <w:pStyle w:val="3"/>
        <w:keepNext/>
        <w:jc w:val="both"/>
        <w:rPr>
          <w:color w:val="000000"/>
        </w:rPr>
      </w:pPr>
      <w:bookmarkStart w:id="149" w:name="_4ekz59m" w:colFirst="0" w:colLast="0"/>
      <w:bookmarkEnd w:id="149"/>
      <w:r>
        <w:rPr>
          <w:color w:val="000000"/>
        </w:rPr>
        <w:t xml:space="preserve">Article 32 Variation des prix </w:t>
      </w:r>
    </w:p>
    <w:p>
      <w:pPr>
        <w:pStyle w:val="3"/>
        <w:widowControl w:val="0"/>
        <w:jc w:val="both"/>
        <w:rPr>
          <w:b/>
          <w:i/>
          <w:smallCaps/>
        </w:rPr>
      </w:pPr>
      <w:r>
        <w:t xml:space="preserve">32.1. Les prix sont fermes </w:t>
      </w:r>
    </w:p>
    <w:p>
      <w:pPr>
        <w:pStyle w:val="3"/>
        <w:widowControl w:val="0"/>
        <w:jc w:val="both"/>
        <w:rPr>
          <w:b/>
          <w:i/>
          <w:smallCaps/>
        </w:rPr>
      </w:pPr>
      <w:r>
        <w:t>Les acomptes payés au cocontractant au titre des avances ne sont pas révisables.</w:t>
      </w:r>
    </w:p>
    <w:p>
      <w:pPr>
        <w:pStyle w:val="3"/>
        <w:widowControl w:val="0"/>
        <w:jc w:val="both"/>
        <w:rPr>
          <w:sz w:val="10"/>
          <w:szCs w:val="10"/>
        </w:rPr>
      </w:pPr>
    </w:p>
    <w:p>
      <w:pPr>
        <w:pStyle w:val="3"/>
        <w:widowControl w:val="0"/>
        <w:jc w:val="both"/>
        <w:rPr>
          <w:b/>
          <w:i/>
          <w:smallCaps/>
        </w:rPr>
      </w:pPr>
      <w:r>
        <w:t>32.2. Modalités d’actualisation des prix.</w:t>
      </w:r>
    </w:p>
    <w:p>
      <w:pPr>
        <w:pStyle w:val="3"/>
        <w:widowControl w:val="0"/>
        <w:jc w:val="both"/>
        <w:rPr>
          <w:b/>
          <w:i/>
          <w:smallCaps/>
        </w:rPr>
      </w:pPr>
      <w:r>
        <w:t>Les modalités d’actualisation ou de révision des prix sont celles prévues dans le Code des Marchés Publics.</w:t>
      </w:r>
    </w:p>
    <w:p>
      <w:pPr>
        <w:pStyle w:val="3"/>
        <w:widowControl w:val="0"/>
        <w:jc w:val="both"/>
        <w:rPr>
          <w:i/>
          <w:sz w:val="10"/>
          <w:szCs w:val="10"/>
        </w:rPr>
      </w:pPr>
    </w:p>
    <w:p>
      <w:pPr>
        <w:pStyle w:val="3"/>
        <w:keepNext/>
        <w:jc w:val="both"/>
        <w:rPr>
          <w:color w:val="000000"/>
        </w:rPr>
      </w:pPr>
      <w:bookmarkStart w:id="150" w:name="_3jd0qos" w:colFirst="0" w:colLast="0"/>
      <w:bookmarkEnd w:id="150"/>
      <w:r>
        <w:rPr>
          <w:color w:val="000000"/>
        </w:rPr>
        <w:t>Article 33 Formules de révision des prix</w:t>
      </w:r>
    </w:p>
    <w:p>
      <w:pPr>
        <w:pStyle w:val="3"/>
        <w:widowControl w:val="0"/>
        <w:jc w:val="both"/>
        <w:rPr>
          <w:color w:val="000000"/>
          <w:sz w:val="20"/>
          <w:szCs w:val="20"/>
        </w:rPr>
      </w:pPr>
      <w:r>
        <w:t xml:space="preserve">Les prix du bordereau des prix unitaires sont révisables </w:t>
      </w:r>
      <w:r>
        <w:rPr>
          <w:color w:val="000000"/>
        </w:rPr>
        <w:t>.</w:t>
      </w:r>
      <w:r>
        <w:t xml:space="preserve">Pour chacun des paramètres, l’indice «0 » indique la « valeur de base » à la date du mois précédent celui du dépouillement des plis. </w:t>
      </w:r>
      <w:r>
        <w:rPr>
          <w:i/>
        </w:rPr>
        <w:t>Se conformer au Code des marchés publics</w:t>
      </w:r>
    </w:p>
    <w:p>
      <w:pPr>
        <w:pStyle w:val="3"/>
        <w:widowControl w:val="0"/>
        <w:jc w:val="both"/>
        <w:rPr>
          <w:i/>
          <w:sz w:val="10"/>
          <w:szCs w:val="10"/>
        </w:rPr>
      </w:pPr>
    </w:p>
    <w:p>
      <w:pPr>
        <w:pStyle w:val="3"/>
        <w:keepNext/>
        <w:jc w:val="both"/>
        <w:rPr>
          <w:color w:val="000000"/>
        </w:rPr>
      </w:pPr>
      <w:bookmarkStart w:id="151" w:name="_1yib0wl" w:colFirst="0" w:colLast="0"/>
      <w:bookmarkEnd w:id="151"/>
      <w:r>
        <w:rPr>
          <w:color w:val="000000"/>
        </w:rPr>
        <w:t>Article 34 Formules d’actualisation des prix</w:t>
      </w:r>
    </w:p>
    <w:p>
      <w:pPr>
        <w:pStyle w:val="3"/>
        <w:widowControl w:val="0"/>
        <w:jc w:val="both"/>
        <w:rPr>
          <w:b/>
          <w:i/>
          <w:smallCaps/>
        </w:rPr>
      </w:pPr>
      <w:r>
        <w:t xml:space="preserve">Les prix du bordereau des prix unitaires sont actualisables par application de la formule suivante : </w:t>
      </w:r>
      <w:r>
        <w:rPr>
          <w:i/>
        </w:rPr>
        <w:t>Insérer, le cas échéant, la formule et définir les paramètres et indices à appliquer le cas échéant.</w:t>
      </w:r>
    </w:p>
    <w:p>
      <w:pPr>
        <w:pStyle w:val="3"/>
        <w:widowControl w:val="0"/>
        <w:jc w:val="both"/>
        <w:rPr>
          <w:b/>
          <w:i/>
          <w:smallCaps/>
        </w:rPr>
      </w:pPr>
      <w:r>
        <w:t>Les indices sont, le cas échéant, ceux définis pour les formules de révision des prix.</w:t>
      </w:r>
    </w:p>
    <w:p>
      <w:pPr>
        <w:pStyle w:val="3"/>
        <w:widowControl w:val="0"/>
        <w:jc w:val="both"/>
        <w:rPr>
          <w:sz w:val="10"/>
          <w:szCs w:val="10"/>
        </w:rPr>
      </w:pPr>
    </w:p>
    <w:p>
      <w:pPr>
        <w:pStyle w:val="3"/>
        <w:keepNext/>
        <w:jc w:val="both"/>
        <w:rPr>
          <w:color w:val="000000"/>
        </w:rPr>
      </w:pPr>
      <w:bookmarkStart w:id="152" w:name="_4ihyjke" w:colFirst="0" w:colLast="0"/>
      <w:bookmarkEnd w:id="152"/>
      <w:r>
        <w:rPr>
          <w:color w:val="000000"/>
        </w:rPr>
        <w:t>Article 35 Travaux en régie</w:t>
      </w:r>
    </w:p>
    <w:p>
      <w:pPr>
        <w:pStyle w:val="3"/>
        <w:widowControl w:val="0"/>
        <w:jc w:val="both"/>
        <w:rPr>
          <w:b/>
          <w:i/>
          <w:smallCaps/>
        </w:rPr>
      </w:pPr>
      <w: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pPr>
        <w:pStyle w:val="3"/>
        <w:widowControl w:val="0"/>
        <w:jc w:val="both"/>
        <w:rPr>
          <w:b/>
          <w:i/>
          <w:smallCaps/>
        </w:rPr>
      </w:pPr>
      <w:r>
        <w:t>Le montant des travaux en régie visés à l’alinéa 1 ci-dessus ne peut être supérieur à deux pour cent (2%) du montant toutes taxes comprises (TTC) du marché.</w:t>
      </w:r>
    </w:p>
    <w:p>
      <w:pPr>
        <w:pStyle w:val="3"/>
        <w:widowControl w:val="0"/>
        <w:jc w:val="both"/>
        <w:rPr>
          <w:sz w:val="10"/>
          <w:szCs w:val="10"/>
        </w:rPr>
      </w:pPr>
    </w:p>
    <w:p>
      <w:pPr>
        <w:pStyle w:val="3"/>
        <w:widowControl w:val="0"/>
        <w:jc w:val="both"/>
        <w:rPr>
          <w:i/>
          <w:sz w:val="20"/>
          <w:szCs w:val="20"/>
        </w:rPr>
      </w:pPr>
      <w: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Pr>
          <w:i/>
        </w:rPr>
        <w:t>[Se référer</w:t>
      </w:r>
      <w:r>
        <w:t xml:space="preserve"> </w:t>
      </w:r>
      <w:r>
        <w:rPr>
          <w:i/>
        </w:rPr>
        <w:t>au texte particulier de l’Autorité chargée des marchés publics définissant les conditions d’exercice des travaux en régie]</w:t>
      </w:r>
    </w:p>
    <w:p>
      <w:pPr>
        <w:pStyle w:val="3"/>
        <w:widowControl w:val="0"/>
        <w:jc w:val="both"/>
        <w:rPr>
          <w:i/>
          <w:sz w:val="10"/>
          <w:szCs w:val="10"/>
        </w:rPr>
      </w:pPr>
    </w:p>
    <w:p>
      <w:pPr>
        <w:pStyle w:val="3"/>
        <w:widowControl w:val="0"/>
        <w:jc w:val="both"/>
        <w:rPr>
          <w:i/>
          <w:sz w:val="20"/>
          <w:szCs w:val="20"/>
        </w:rPr>
      </w:pPr>
      <w:r>
        <w:rPr>
          <w:i/>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pPr>
        <w:pStyle w:val="3"/>
        <w:widowControl w:val="0"/>
        <w:jc w:val="both"/>
        <w:rPr>
          <w:i/>
          <w:sz w:val="10"/>
          <w:szCs w:val="10"/>
        </w:rPr>
      </w:pPr>
    </w:p>
    <w:p>
      <w:pPr>
        <w:pStyle w:val="3"/>
        <w:keepNext/>
        <w:jc w:val="both"/>
        <w:rPr>
          <w:color w:val="000000"/>
        </w:rPr>
      </w:pPr>
      <w:bookmarkStart w:id="153" w:name="_2xn8ts7" w:colFirst="0" w:colLast="0"/>
      <w:bookmarkEnd w:id="153"/>
      <w:r>
        <w:rPr>
          <w:color w:val="000000"/>
        </w:rPr>
        <w:t>Article 36 Valorisation des approvisionnements</w:t>
      </w:r>
    </w:p>
    <w:p>
      <w:pPr>
        <w:pStyle w:val="3"/>
        <w:widowControl w:val="0"/>
        <w:jc w:val="both"/>
        <w:rPr>
          <w:b/>
          <w:i/>
          <w:smallCaps/>
        </w:rPr>
      </w:pPr>
      <w:r>
        <w:t>36.1. Des acomptes pour approvisionnement peuvent être accordés en raison des dépenses engagées en vue de l’exécution des travaux, fournitures ou services qui font l’objet d’un marché</w:t>
      </w:r>
      <w:r>
        <w:rPr>
          <w:i/>
        </w:rPr>
        <w:t>. Les modalités de paiement desdites avances sont fixées dans le code des marchés publics.</w:t>
      </w:r>
    </w:p>
    <w:p>
      <w:pPr>
        <w:pStyle w:val="3"/>
        <w:widowControl w:val="0"/>
        <w:jc w:val="both"/>
        <w:rPr>
          <w:b/>
          <w:i/>
          <w:smallCaps/>
        </w:rPr>
      </w:pPr>
      <w:r>
        <w:t>36.2. Il n’est pas demandé de caution pour les acomptes sur approvisionnements.</w:t>
      </w:r>
    </w:p>
    <w:p>
      <w:pPr>
        <w:pStyle w:val="3"/>
        <w:widowControl w:val="0"/>
        <w:jc w:val="both"/>
        <w:rPr>
          <w:b/>
          <w:i/>
          <w:smallCaps/>
        </w:rPr>
      </w:pPr>
      <w:r>
        <w:t>36.3 Dans tous les cas, le cocontractant de l’administration est responsable du gardiennage des matériaux ayant donnés lieu à une avance pour approvisionnement jusqu’à la réception des travaux.</w:t>
      </w:r>
    </w:p>
    <w:p>
      <w:pPr>
        <w:pStyle w:val="3"/>
        <w:widowControl w:val="0"/>
        <w:jc w:val="both"/>
        <w:rPr>
          <w:sz w:val="10"/>
          <w:szCs w:val="10"/>
        </w:rPr>
      </w:pPr>
    </w:p>
    <w:p>
      <w:pPr>
        <w:pStyle w:val="3"/>
        <w:keepNext/>
        <w:jc w:val="both"/>
        <w:rPr>
          <w:color w:val="000000"/>
        </w:rPr>
      </w:pPr>
      <w:bookmarkStart w:id="154" w:name="_n5rssn" w:colFirst="0" w:colLast="0"/>
      <w:bookmarkEnd w:id="154"/>
      <w:r>
        <w:rPr>
          <w:color w:val="000000"/>
        </w:rPr>
        <w:t xml:space="preserve">Article 37 Avances </w:t>
      </w:r>
    </w:p>
    <w:p>
      <w:pPr>
        <w:pStyle w:val="3"/>
        <w:widowControl w:val="0"/>
        <w:jc w:val="both"/>
        <w:rPr>
          <w:b/>
          <w:i/>
          <w:smallCaps/>
        </w:rPr>
      </w:pPr>
      <w:r>
        <w:t xml:space="preserve">37.1. Le Maître d’Ouvrage </w:t>
      </w:r>
      <w:r>
        <w:rPr>
          <w:i/>
        </w:rPr>
        <w:t xml:space="preserve">accordera </w:t>
      </w:r>
      <w:r>
        <w:t xml:space="preserve">une avance de démarrage </w:t>
      </w:r>
      <w:r>
        <w:rPr>
          <w:i/>
        </w:rPr>
        <w:t>n’excédant pas 20% du montant TTC du marché</w:t>
      </w:r>
    </w:p>
    <w:p>
      <w:pPr>
        <w:pStyle w:val="3"/>
        <w:widowControl w:val="0"/>
        <w:jc w:val="both"/>
        <w:rPr>
          <w:i/>
          <w:sz w:val="20"/>
          <w:szCs w:val="20"/>
        </w:rPr>
      </w:pPr>
      <w:r>
        <w:t xml:space="preserve">37.2 L’avance de démarrage peut être obtenue par le co-contractant de l’administration sur simple demande adressée au Maître d’ouvrage sans justificatif. Cette avance commence à être remboursée par déduction d’un pourcentage : </w:t>
      </w:r>
      <w:r>
        <w:rPr>
          <w:i/>
        </w:rPr>
        <w:t xml:space="preserve"> </w:t>
      </w:r>
      <w:r>
        <w:t>sur chaque décompte dès lors que le cumul des travaux atteint 40% du montant du marché</w:t>
      </w:r>
      <w:r>
        <w:rPr>
          <w:i/>
        </w:rPr>
        <w:t xml:space="preserve">. Le versement de l'avance de démarrage intervient postérieurement à la mise en place des cautions exigibles, conformément aux dispositions du code des• marchés publics. </w:t>
      </w:r>
    </w:p>
    <w:p>
      <w:pPr>
        <w:pStyle w:val="3"/>
        <w:widowControl w:val="0"/>
        <w:jc w:val="both"/>
        <w:rPr>
          <w:i/>
          <w:sz w:val="10"/>
          <w:szCs w:val="10"/>
        </w:rPr>
      </w:pPr>
    </w:p>
    <w:p>
      <w:pPr>
        <w:pStyle w:val="3"/>
        <w:widowControl w:val="0"/>
        <w:jc w:val="both"/>
        <w:rPr>
          <w:b/>
          <w:i/>
          <w:smallCaps/>
        </w:rPr>
      </w:pPr>
      <w:r>
        <w:t>37.3</w:t>
      </w:r>
      <w:r>
        <w:tab/>
      </w:r>
      <w:r>
        <w:t>La totalité de l’avance doit être remboursée au plus tard dès le moment où la valeur en prix de base des prestations réalisées atteint quatre-vingt pour cent (80%) du montant du marché.</w:t>
      </w:r>
    </w:p>
    <w:p>
      <w:pPr>
        <w:pStyle w:val="3"/>
        <w:widowControl w:val="0"/>
        <w:jc w:val="both"/>
        <w:rPr>
          <w:sz w:val="10"/>
          <w:szCs w:val="10"/>
        </w:rPr>
      </w:pPr>
    </w:p>
    <w:p>
      <w:pPr>
        <w:pStyle w:val="3"/>
        <w:widowControl w:val="0"/>
        <w:jc w:val="both"/>
        <w:rPr>
          <w:b/>
          <w:i/>
          <w:smallCaps/>
        </w:rPr>
      </w:pPr>
      <w:r>
        <w:t>37.4</w:t>
      </w:r>
      <w:r>
        <w:tab/>
      </w:r>
      <w:r>
        <w:t>Au fur et à mesure du remboursement des avances, le Maître d’Ouvrage ou le</w:t>
      </w:r>
      <w:r>
        <w:rPr>
          <w:i/>
        </w:rPr>
        <w:t xml:space="preserve"> Maître d’Ouvrage Délégué</w:t>
      </w:r>
      <w:r>
        <w:t xml:space="preserve"> donnera la mainlevée de la partie de la caution correspondante, sur demande expresse du cocontractant de l’administration.</w:t>
      </w:r>
    </w:p>
    <w:p>
      <w:pPr>
        <w:pStyle w:val="3"/>
        <w:widowControl w:val="0"/>
        <w:jc w:val="both"/>
        <w:rPr>
          <w:sz w:val="10"/>
          <w:szCs w:val="10"/>
        </w:rPr>
      </w:pPr>
    </w:p>
    <w:p>
      <w:pPr>
        <w:pStyle w:val="3"/>
        <w:widowControl w:val="0"/>
        <w:jc w:val="both"/>
        <w:rPr>
          <w:b/>
          <w:i/>
          <w:smallCaps/>
        </w:rPr>
      </w:pPr>
      <w: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pPr>
        <w:pStyle w:val="3"/>
        <w:widowControl w:val="0"/>
        <w:jc w:val="both"/>
        <w:rPr>
          <w:sz w:val="10"/>
          <w:szCs w:val="10"/>
        </w:rPr>
      </w:pPr>
    </w:p>
    <w:p>
      <w:pPr>
        <w:pStyle w:val="3"/>
        <w:widowControl w:val="0"/>
        <w:jc w:val="both"/>
        <w:rPr>
          <w:sz w:val="10"/>
          <w:szCs w:val="10"/>
        </w:rPr>
      </w:pPr>
    </w:p>
    <w:p>
      <w:pPr>
        <w:pStyle w:val="3"/>
        <w:widowControl w:val="0"/>
        <w:jc w:val="both"/>
        <w:rPr>
          <w:sz w:val="10"/>
          <w:szCs w:val="10"/>
        </w:rPr>
      </w:pPr>
    </w:p>
    <w:p>
      <w:pPr>
        <w:pStyle w:val="3"/>
        <w:widowControl w:val="0"/>
        <w:jc w:val="both"/>
        <w:rPr>
          <w:sz w:val="10"/>
          <w:szCs w:val="10"/>
        </w:rPr>
      </w:pPr>
    </w:p>
    <w:p>
      <w:pPr>
        <w:pStyle w:val="3"/>
        <w:widowControl w:val="0"/>
        <w:jc w:val="both"/>
        <w:rPr>
          <w:sz w:val="10"/>
          <w:szCs w:val="10"/>
        </w:rPr>
      </w:pPr>
    </w:p>
    <w:p>
      <w:pPr>
        <w:pStyle w:val="3"/>
        <w:widowControl w:val="0"/>
        <w:jc w:val="both"/>
        <w:rPr>
          <w:sz w:val="10"/>
          <w:szCs w:val="10"/>
        </w:rPr>
      </w:pPr>
    </w:p>
    <w:p>
      <w:pPr>
        <w:pStyle w:val="3"/>
        <w:widowControl w:val="0"/>
        <w:jc w:val="both"/>
        <w:rPr>
          <w:sz w:val="10"/>
          <w:szCs w:val="10"/>
        </w:rPr>
      </w:pPr>
    </w:p>
    <w:p>
      <w:pPr>
        <w:pStyle w:val="3"/>
        <w:keepNext/>
        <w:jc w:val="both"/>
        <w:rPr>
          <w:color w:val="000000"/>
        </w:rPr>
      </w:pPr>
      <w:bookmarkStart w:id="155" w:name="_1csj400" w:colFirst="0" w:colLast="0"/>
      <w:bookmarkEnd w:id="155"/>
      <w:r>
        <w:rPr>
          <w:color w:val="000000"/>
        </w:rPr>
        <w:t>Article 38 Règlement des travaux</w:t>
      </w:r>
    </w:p>
    <w:p>
      <w:pPr>
        <w:pStyle w:val="3"/>
        <w:widowControl w:val="0"/>
        <w:jc w:val="both"/>
        <w:rPr>
          <w:b/>
          <w:sz w:val="20"/>
          <w:szCs w:val="20"/>
        </w:rPr>
      </w:pPr>
      <w:r>
        <w:rPr>
          <w:b/>
        </w:rPr>
        <w:t>38.1. Constatation des travaux exécutés</w:t>
      </w:r>
    </w:p>
    <w:p>
      <w:pPr>
        <w:pStyle w:val="3"/>
        <w:widowControl w:val="0"/>
        <w:jc w:val="both"/>
        <w:rPr>
          <w:sz w:val="20"/>
          <w:szCs w:val="20"/>
        </w:rPr>
      </w:pPr>
      <w:r>
        <w:rPr>
          <w:i/>
        </w:rPr>
        <w:t xml:space="preserve">Avant la fin de chaque mois, </w:t>
      </w:r>
      <w:r>
        <w:t xml:space="preserve">le cocontractant de l’administration </w:t>
      </w:r>
      <w:r>
        <w:rPr>
          <w:i/>
        </w:rPr>
        <w:t xml:space="preserve">et l’Ingénieur [ou le Maître d’Œuvre le cas échéant], </w:t>
      </w:r>
      <w:r>
        <w:t>établissent un attachement contradictoire qui récapitule et fixe les quantités réalisées et constatées pour chaque poste du bordereau au cours du mois et pouvant donner droit au paiement.</w:t>
      </w:r>
    </w:p>
    <w:p>
      <w:pPr>
        <w:pStyle w:val="3"/>
        <w:widowControl w:val="0"/>
        <w:jc w:val="both"/>
        <w:rPr>
          <w:sz w:val="10"/>
          <w:szCs w:val="10"/>
        </w:rPr>
      </w:pPr>
    </w:p>
    <w:p>
      <w:pPr>
        <w:pStyle w:val="3"/>
        <w:widowControl w:val="0"/>
        <w:jc w:val="both"/>
        <w:rPr>
          <w:b/>
          <w:sz w:val="20"/>
          <w:szCs w:val="20"/>
        </w:rPr>
      </w:pPr>
      <w:r>
        <w:rPr>
          <w:b/>
        </w:rPr>
        <w:t>38.2. Décomptes provisoires</w:t>
      </w:r>
      <w:r>
        <w:rPr>
          <w:b/>
          <w:i/>
        </w:rPr>
        <w:t xml:space="preserve"> </w:t>
      </w:r>
    </w:p>
    <w:p>
      <w:pPr>
        <w:pStyle w:val="3"/>
        <w:widowControl w:val="0"/>
        <w:jc w:val="both"/>
        <w:rPr>
          <w:i/>
          <w:sz w:val="20"/>
          <w:szCs w:val="20"/>
        </w:rPr>
      </w:pPr>
      <w:r>
        <w:rPr>
          <w:i/>
        </w:rPr>
        <w:t>Les décomptes provisoires doivent être établis en sept exemplaires à une fréquence de :</w:t>
      </w:r>
      <w:r>
        <w:t xml:space="preserve"> [A préciser comprise entre un (01) et trois (3) mois</w:t>
      </w:r>
      <w:r>
        <w:rPr>
          <w:i/>
        </w:rPr>
        <w:t xml:space="preserve">]. </w:t>
      </w:r>
    </w:p>
    <w:p>
      <w:pPr>
        <w:pStyle w:val="3"/>
        <w:widowControl w:val="0"/>
        <w:jc w:val="both"/>
        <w:rPr>
          <w:i/>
          <w:color w:val="000000"/>
          <w:sz w:val="20"/>
          <w:szCs w:val="20"/>
        </w:rPr>
      </w:pPr>
      <w:r>
        <w:rPr>
          <w:i/>
          <w:color w:val="000000"/>
        </w:rPr>
        <w:t xml:space="preserve">Le Maître d’œuvre ou l’Ingénieur dispose d’un délai de </w:t>
      </w:r>
      <w:r>
        <w:rPr>
          <w:color w:val="000000"/>
        </w:rPr>
        <w:t xml:space="preserve">: </w:t>
      </w:r>
      <w:r>
        <w:rPr>
          <w:i/>
          <w:color w:val="000000"/>
        </w:rPr>
        <w:t>[</w:t>
      </w:r>
      <w:r>
        <w:rPr>
          <w:color w:val="000000"/>
        </w:rPr>
        <w:t>A préciser</w:t>
      </w:r>
      <w:r>
        <w:rPr>
          <w:i/>
          <w:color w:val="000000"/>
        </w:rPr>
        <w:t xml:space="preserve"> (un délai de zéro (0) à sept (7) jours ouvrables maxi)] pour transmettre au Chef de service du marché, le projet de décompte qu’il a approuvé. </w:t>
      </w:r>
    </w:p>
    <w:p>
      <w:pPr>
        <w:pStyle w:val="3"/>
        <w:widowControl w:val="0"/>
        <w:jc w:val="both"/>
        <w:rPr>
          <w:color w:val="000000"/>
          <w:sz w:val="10"/>
          <w:szCs w:val="10"/>
        </w:rPr>
      </w:pPr>
    </w:p>
    <w:p>
      <w:pPr>
        <w:pStyle w:val="3"/>
        <w:widowControl w:val="0"/>
        <w:jc w:val="both"/>
        <w:rPr>
          <w:i/>
          <w:color w:val="000000"/>
          <w:sz w:val="20"/>
          <w:szCs w:val="20"/>
        </w:rPr>
      </w:pPr>
      <w:r>
        <w:rPr>
          <w:i/>
          <w:color w:val="000000"/>
        </w:rPr>
        <w:t xml:space="preserve">Le chef de service quant à lui dispose d’un délai de </w:t>
      </w:r>
      <w:r>
        <w:rPr>
          <w:color w:val="000000"/>
        </w:rPr>
        <w:t xml:space="preserve">: </w:t>
      </w:r>
      <w:r>
        <w:rPr>
          <w:i/>
          <w:color w:val="000000"/>
        </w:rPr>
        <w:t>[</w:t>
      </w:r>
      <w:r>
        <w:rPr>
          <w:color w:val="000000"/>
        </w:rPr>
        <w:t xml:space="preserve">A préciser, (de zéro (0) à </w:t>
      </w:r>
      <w:r>
        <w:rPr>
          <w:i/>
          <w:color w:val="000000"/>
        </w:rPr>
        <w:t>vingt-un (21) jours ouvrables maxi] pour procéder à la liquidation et sa transmission au comptable chargé du paiement avec copie à l’organisme chargé du contrôle externe.</w:t>
      </w:r>
    </w:p>
    <w:p>
      <w:pPr>
        <w:pStyle w:val="3"/>
        <w:widowControl w:val="0"/>
        <w:jc w:val="both"/>
        <w:rPr>
          <w:i/>
          <w:sz w:val="20"/>
          <w:szCs w:val="20"/>
        </w:rPr>
      </w:pPr>
      <w:r>
        <w:rPr>
          <w:i/>
        </w:rPr>
        <w:t>Les copies des décomptes provisoires doivent être transmises au Ministère en charge des marchés publics et à l’organisme chargé de la régulation des marchés publics.</w:t>
      </w:r>
    </w:p>
    <w:p>
      <w:pPr>
        <w:pStyle w:val="3"/>
        <w:widowControl w:val="0"/>
        <w:jc w:val="both"/>
        <w:rPr>
          <w:i/>
          <w:sz w:val="10"/>
          <w:szCs w:val="10"/>
        </w:rPr>
      </w:pPr>
    </w:p>
    <w:p>
      <w:pPr>
        <w:pStyle w:val="3"/>
        <w:widowControl w:val="0"/>
        <w:jc w:val="both"/>
        <w:rPr>
          <w:i/>
          <w:sz w:val="20"/>
          <w:szCs w:val="20"/>
        </w:rPr>
      </w:pPr>
      <w:r>
        <w:rPr>
          <w:i/>
        </w:rPr>
        <w:t>Le délai maximum accordé au comptable assignataire pour le règlement des acomptes est fixé à quatre-vingt-dix (90) jours à compter de la date de réception des décomptes transmis par le chef de service du marché.</w:t>
      </w:r>
    </w:p>
    <w:p>
      <w:pPr>
        <w:pStyle w:val="3"/>
        <w:widowControl w:val="0"/>
        <w:jc w:val="both"/>
        <w:rPr>
          <w:b/>
          <w:i/>
          <w:smallCaps/>
        </w:rPr>
      </w:pPr>
      <w:r>
        <w:rPr>
          <w:i/>
        </w:rPr>
        <w:t xml:space="preserve">Le montant HTVA de l’acompte à payer </w:t>
      </w:r>
      <w:r>
        <w:t xml:space="preserve">au cocontractant de l’administration </w:t>
      </w:r>
      <w:r>
        <w:rPr>
          <w:i/>
        </w:rPr>
        <w:t>sera mandaté comme suit :</w:t>
      </w:r>
    </w:p>
    <w:p>
      <w:pPr>
        <w:pStyle w:val="3"/>
        <w:widowControl w:val="0"/>
        <w:numPr>
          <w:ilvl w:val="0"/>
          <w:numId w:val="21"/>
        </w:numPr>
        <w:ind w:left="567" w:hanging="283"/>
        <w:jc w:val="both"/>
        <w:rPr>
          <w:i/>
          <w:smallCaps/>
        </w:rPr>
      </w:pPr>
      <w:r>
        <w:rPr>
          <w:i/>
        </w:rPr>
        <w:t xml:space="preserve">HTVA - AIR ou TSR] versé directement au compte du </w:t>
      </w:r>
      <w:r>
        <w:t xml:space="preserve">cocontractant de l’administration </w:t>
      </w:r>
      <w:r>
        <w:rPr>
          <w:i/>
        </w:rPr>
        <w:t>;</w:t>
      </w:r>
    </w:p>
    <w:p>
      <w:pPr>
        <w:pStyle w:val="3"/>
        <w:widowControl w:val="0"/>
        <w:numPr>
          <w:ilvl w:val="0"/>
          <w:numId w:val="21"/>
        </w:numPr>
        <w:ind w:left="567" w:hanging="283"/>
        <w:jc w:val="both"/>
        <w:rPr>
          <w:i/>
          <w:smallCaps/>
        </w:rPr>
      </w:pPr>
      <w:r>
        <w:rPr>
          <w:i/>
        </w:rPr>
        <w:t>TVA au taux en vigueur ;</w:t>
      </w:r>
    </w:p>
    <w:p>
      <w:pPr>
        <w:pStyle w:val="3"/>
        <w:widowControl w:val="0"/>
        <w:numPr>
          <w:ilvl w:val="0"/>
          <w:numId w:val="21"/>
        </w:numPr>
        <w:ind w:left="567" w:hanging="283"/>
        <w:jc w:val="both"/>
        <w:rPr>
          <w:i/>
          <w:smallCaps/>
        </w:rPr>
      </w:pPr>
      <w:r>
        <w:rPr>
          <w:i/>
        </w:rPr>
        <w:t>[AIR ou TSR] versé au Trésor public au titre de l’AIR ou de la TSR dû par le cocontractant ;</w:t>
      </w:r>
    </w:p>
    <w:p>
      <w:pPr>
        <w:pStyle w:val="3"/>
        <w:widowControl w:val="0"/>
        <w:ind w:left="567"/>
        <w:jc w:val="both"/>
        <w:rPr>
          <w:sz w:val="10"/>
          <w:szCs w:val="10"/>
        </w:rPr>
      </w:pPr>
    </w:p>
    <w:p>
      <w:pPr>
        <w:pStyle w:val="3"/>
        <w:widowControl w:val="0"/>
        <w:jc w:val="both"/>
        <w:rPr>
          <w:b/>
          <w:sz w:val="20"/>
          <w:szCs w:val="20"/>
        </w:rPr>
      </w:pPr>
      <w:r>
        <w:rPr>
          <w:b/>
        </w:rPr>
        <w:t xml:space="preserve">38.3. Décompte final </w:t>
      </w:r>
    </w:p>
    <w:p>
      <w:pPr>
        <w:pStyle w:val="3"/>
        <w:widowControl w:val="0"/>
        <w:jc w:val="both"/>
        <w:rPr>
          <w:b/>
          <w:i/>
          <w:smallCaps/>
        </w:rPr>
      </w:pPr>
      <w:r>
        <w:rPr>
          <w:i/>
        </w:rPr>
        <w:t>[Indiquer le délai dont dispose le cocontractant de l’administration pour transmettre le projet au Maître d’Œuvre</w:t>
      </w:r>
      <w:r>
        <w:rPr>
          <w:i/>
          <w:color w:val="FF0000"/>
        </w:rPr>
        <w:t xml:space="preserve"> </w:t>
      </w:r>
      <w:r>
        <w:rPr>
          <w:i/>
        </w:rPr>
        <w:t>ou à l’ingénieur, après la date de réception provisoire des travaux (1 mois maxi)]</w:t>
      </w:r>
    </w:p>
    <w:p>
      <w:pPr>
        <w:pStyle w:val="3"/>
        <w:widowControl w:val="0"/>
        <w:jc w:val="both"/>
        <w:rPr>
          <w:sz w:val="20"/>
          <w:szCs w:val="20"/>
        </w:rPr>
      </w:pPr>
      <w:r>
        <w:t xml:space="preserve">Après achèvement des travaux et dans un délai maximum de </w:t>
      </w:r>
      <w:r>
        <w:rPr>
          <w:i/>
        </w:rPr>
        <w:t>[</w:t>
      </w:r>
      <w:r>
        <w:t>A préciser</w:t>
      </w:r>
      <w:r>
        <w:rPr>
          <w:i/>
        </w:rPr>
        <w:t xml:space="preserve">] </w:t>
      </w:r>
      <w: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pPr>
        <w:pStyle w:val="3"/>
        <w:widowControl w:val="0"/>
        <w:jc w:val="both"/>
        <w:rPr>
          <w:sz w:val="10"/>
          <w:szCs w:val="10"/>
        </w:rPr>
      </w:pPr>
    </w:p>
    <w:p>
      <w:pPr>
        <w:pStyle w:val="3"/>
        <w:widowControl w:val="0"/>
        <w:jc w:val="both"/>
        <w:rPr>
          <w:sz w:val="20"/>
          <w:szCs w:val="20"/>
        </w:rPr>
      </w:pPr>
      <w:r>
        <w:t xml:space="preserve">Ce projet de décompte final, une fois rectifié par le Maître d’œuvre ou l’ingénieur et accepté par </w:t>
      </w:r>
      <w:r>
        <w:rPr>
          <w:i/>
        </w:rPr>
        <w:t>le Chef de service</w:t>
      </w:r>
      <w:r>
        <w:t xml:space="preserve"> du marché devient final. Il sert à l’établissement de l’acompte pour solde du marché, établi dans les mêmes conditions que celles définies pour l’établissement des décomptes mensuels.</w:t>
      </w:r>
    </w:p>
    <w:p>
      <w:pPr>
        <w:pStyle w:val="3"/>
        <w:widowControl w:val="0"/>
        <w:jc w:val="both"/>
        <w:rPr>
          <w:i/>
          <w:sz w:val="20"/>
          <w:szCs w:val="20"/>
        </w:rPr>
      </w:pPr>
      <w:r>
        <w:rPr>
          <w:b/>
        </w:rPr>
        <w:t>38.3.2</w:t>
      </w:r>
      <w:r>
        <w:t xml:space="preserve">. </w:t>
      </w:r>
      <w:r>
        <w:rPr>
          <w:i/>
        </w:rPr>
        <w:t xml:space="preserve">[Indiquer le délai dont dispose le Chef de service pour notifier le projet rectifié et accepté au Maître d’Œuvre, (1 mois maximum)] </w:t>
      </w:r>
    </w:p>
    <w:p>
      <w:pPr>
        <w:pStyle w:val="3"/>
        <w:widowControl w:val="0"/>
        <w:jc w:val="both"/>
        <w:rPr>
          <w:sz w:val="10"/>
          <w:szCs w:val="10"/>
        </w:rPr>
      </w:pPr>
    </w:p>
    <w:p>
      <w:pPr>
        <w:pStyle w:val="3"/>
        <w:widowControl w:val="0"/>
        <w:jc w:val="both"/>
        <w:rPr>
          <w:i/>
          <w:sz w:val="20"/>
          <w:szCs w:val="20"/>
        </w:rPr>
      </w:pPr>
      <w:r>
        <w:rPr>
          <w:b/>
        </w:rPr>
        <w:t>38.3.4.</w:t>
      </w:r>
      <w:r>
        <w:t xml:space="preserve"> Le</w:t>
      </w:r>
      <w:r>
        <w:rPr>
          <w:i/>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pPr>
        <w:pStyle w:val="3"/>
        <w:widowControl w:val="0"/>
        <w:jc w:val="both"/>
        <w:rPr>
          <w:i/>
          <w:sz w:val="10"/>
          <w:szCs w:val="10"/>
        </w:rPr>
      </w:pPr>
    </w:p>
    <w:p>
      <w:pPr>
        <w:pStyle w:val="3"/>
        <w:widowControl w:val="0"/>
        <w:jc w:val="both"/>
        <w:rPr>
          <w:i/>
          <w:sz w:val="20"/>
          <w:szCs w:val="20"/>
        </w:rPr>
      </w:pPr>
      <w:r>
        <w:rPr>
          <w:i/>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pPr>
        <w:pStyle w:val="3"/>
        <w:widowControl w:val="0"/>
        <w:jc w:val="both"/>
        <w:rPr>
          <w:i/>
        </w:rPr>
      </w:pPr>
      <w:r>
        <w:rPr>
          <w:i/>
        </w:rPr>
        <w:t>Le règlement du différend intervient alors selon les dispositions du code des marchés publics en vigueur et du CCAG applicable.</w:t>
      </w:r>
    </w:p>
    <w:p>
      <w:pPr>
        <w:pStyle w:val="3"/>
        <w:widowControl w:val="0"/>
        <w:jc w:val="both"/>
        <w:rPr>
          <w:i/>
        </w:rPr>
      </w:pPr>
    </w:p>
    <w:p>
      <w:pPr>
        <w:pStyle w:val="3"/>
        <w:widowControl w:val="0"/>
        <w:jc w:val="both"/>
        <w:rPr>
          <w:i/>
          <w:sz w:val="20"/>
          <w:szCs w:val="20"/>
        </w:rPr>
      </w:pPr>
    </w:p>
    <w:p>
      <w:pPr>
        <w:pStyle w:val="3"/>
        <w:widowControl w:val="0"/>
        <w:jc w:val="both"/>
        <w:rPr>
          <w:i/>
          <w:sz w:val="10"/>
          <w:szCs w:val="10"/>
        </w:rPr>
      </w:pPr>
    </w:p>
    <w:p>
      <w:pPr>
        <w:pStyle w:val="3"/>
        <w:widowControl w:val="0"/>
        <w:jc w:val="both"/>
        <w:rPr>
          <w:b/>
          <w:sz w:val="20"/>
          <w:szCs w:val="20"/>
        </w:rPr>
      </w:pPr>
      <w:r>
        <w:rPr>
          <w:b/>
        </w:rPr>
        <w:t xml:space="preserve">38.4. Décompte général et définitif </w:t>
      </w:r>
    </w:p>
    <w:p>
      <w:pPr>
        <w:pStyle w:val="3"/>
        <w:widowControl w:val="0"/>
        <w:jc w:val="both"/>
        <w:rPr>
          <w:i/>
          <w:sz w:val="20"/>
          <w:szCs w:val="20"/>
        </w:rPr>
      </w:pPr>
      <w:r>
        <w:rPr>
          <w:b/>
        </w:rPr>
        <w:t>38.4.1</w:t>
      </w:r>
      <w:r>
        <w:t xml:space="preserve">. </w:t>
      </w:r>
      <w:r>
        <w:rPr>
          <w:i/>
        </w:rPr>
        <w:t>[Indiquer le délai dont dispose le Chef de service ou le Maître d’Œuvre pour établir le décompte général et définitif au   cocontractant de l’administration après la réception définitive (1 mois maximum)]</w:t>
      </w:r>
    </w:p>
    <w:p>
      <w:pPr>
        <w:pStyle w:val="3"/>
        <w:widowControl w:val="0"/>
        <w:jc w:val="both"/>
        <w:rPr>
          <w:sz w:val="10"/>
          <w:szCs w:val="10"/>
        </w:rPr>
      </w:pPr>
    </w:p>
    <w:p>
      <w:pPr>
        <w:pStyle w:val="3"/>
        <w:widowControl w:val="0"/>
        <w:jc w:val="both"/>
        <w:rPr>
          <w:b/>
          <w:i/>
          <w:smallCaps/>
        </w:rPr>
      </w:pPr>
      <w: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pPr>
        <w:pStyle w:val="3"/>
        <w:widowControl w:val="0"/>
        <w:numPr>
          <w:ilvl w:val="0"/>
          <w:numId w:val="21"/>
        </w:numPr>
        <w:ind w:left="567" w:hanging="283"/>
        <w:jc w:val="both"/>
      </w:pPr>
      <w:r>
        <w:t>Le décompte final,</w:t>
      </w:r>
    </w:p>
    <w:p>
      <w:pPr>
        <w:pStyle w:val="3"/>
        <w:widowControl w:val="0"/>
        <w:numPr>
          <w:ilvl w:val="0"/>
          <w:numId w:val="21"/>
        </w:numPr>
        <w:ind w:left="567" w:hanging="283"/>
        <w:jc w:val="both"/>
      </w:pPr>
      <w:r>
        <w:t>Le solde,</w:t>
      </w:r>
    </w:p>
    <w:p>
      <w:pPr>
        <w:pStyle w:val="3"/>
        <w:widowControl w:val="0"/>
        <w:numPr>
          <w:ilvl w:val="0"/>
          <w:numId w:val="21"/>
        </w:numPr>
        <w:ind w:left="567" w:hanging="283"/>
        <w:jc w:val="both"/>
        <w:rPr>
          <w:i/>
          <w:smallCaps/>
        </w:rPr>
      </w:pPr>
      <w:r>
        <w:t>La récapitulation des acomptes mensuels.</w:t>
      </w:r>
    </w:p>
    <w:p>
      <w:pPr>
        <w:pStyle w:val="3"/>
        <w:widowControl w:val="0"/>
        <w:ind w:left="567"/>
        <w:jc w:val="both"/>
        <w:rPr>
          <w:sz w:val="10"/>
          <w:szCs w:val="10"/>
        </w:rPr>
      </w:pPr>
    </w:p>
    <w:p>
      <w:pPr>
        <w:pStyle w:val="3"/>
        <w:widowControl w:val="0"/>
        <w:jc w:val="both"/>
        <w:rPr>
          <w:b/>
          <w:sz w:val="20"/>
          <w:szCs w:val="20"/>
        </w:rPr>
      </w:pPr>
      <w:r>
        <w:rPr>
          <w:b/>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pPr>
        <w:pStyle w:val="3"/>
        <w:widowControl w:val="0"/>
        <w:jc w:val="both"/>
        <w:rPr>
          <w:b/>
          <w:sz w:val="10"/>
          <w:szCs w:val="10"/>
        </w:rPr>
      </w:pPr>
    </w:p>
    <w:p>
      <w:pPr>
        <w:pStyle w:val="3"/>
        <w:widowControl w:val="0"/>
        <w:jc w:val="both"/>
        <w:rPr>
          <w:i/>
          <w:sz w:val="20"/>
          <w:szCs w:val="20"/>
        </w:rPr>
      </w:pPr>
      <w:r>
        <w:rPr>
          <w:b/>
        </w:rPr>
        <w:t>38.4.2</w:t>
      </w:r>
      <w:r>
        <w:t xml:space="preserve">. </w:t>
      </w:r>
      <w:r>
        <w:rPr>
          <w:i/>
        </w:rPr>
        <w:t>[Indiquer le délai dont dispose le cocontractant pour renvoyer le décompte général et définitif revêtu de sa signature (1 mois maximum)]</w:t>
      </w:r>
    </w:p>
    <w:p>
      <w:pPr>
        <w:pStyle w:val="3"/>
        <w:widowControl w:val="0"/>
        <w:jc w:val="both"/>
        <w:rPr>
          <w:i/>
          <w:sz w:val="20"/>
          <w:szCs w:val="20"/>
        </w:rPr>
      </w:pPr>
      <w:r>
        <w:rPr>
          <w:i/>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pPr>
        <w:pStyle w:val="3"/>
        <w:widowControl w:val="0"/>
        <w:jc w:val="both"/>
        <w:rPr>
          <w:b/>
          <w:i/>
          <w:smallCaps/>
        </w:rPr>
      </w:pPr>
      <w:r>
        <w:t>Les délais et les modalités de signature ainsi que de gestion des désaccords sont les mêmes que ceux du décompte final.</w:t>
      </w:r>
    </w:p>
    <w:p>
      <w:pPr>
        <w:pStyle w:val="3"/>
        <w:widowControl w:val="0"/>
        <w:jc w:val="both"/>
        <w:rPr>
          <w:sz w:val="10"/>
          <w:szCs w:val="10"/>
        </w:rPr>
      </w:pPr>
    </w:p>
    <w:p>
      <w:pPr>
        <w:pStyle w:val="3"/>
        <w:keepNext/>
        <w:jc w:val="both"/>
        <w:rPr>
          <w:color w:val="000000"/>
        </w:rPr>
      </w:pPr>
      <w:bookmarkStart w:id="156" w:name="_1maplo9" w:colFirst="0" w:colLast="0"/>
      <w:bookmarkEnd w:id="156"/>
      <w:r>
        <w:rPr>
          <w:color w:val="000000"/>
        </w:rPr>
        <w:t xml:space="preserve">Article 39 Intérêts moratoires </w:t>
      </w:r>
    </w:p>
    <w:p>
      <w:pPr>
        <w:pStyle w:val="3"/>
        <w:widowControl w:val="0"/>
        <w:jc w:val="both"/>
        <w:rPr>
          <w:b/>
          <w:i/>
          <w:smallCaps/>
        </w:rPr>
      </w:pPr>
      <w:r>
        <w:t xml:space="preserve">Les intérêts moratoires éventuels sont payés par état des sommes dues et calculés conformément aux dispositions </w:t>
      </w:r>
      <w:r>
        <w:rPr>
          <w:color w:val="000000"/>
        </w:rPr>
        <w:t xml:space="preserve">des articles 166 et 167 du décret n° 2018/366 du 20Juin 2018 portant Code des Marchés Publics </w:t>
      </w:r>
      <w:r>
        <w:t xml:space="preserve">et  par application de la formule </w:t>
      </w:r>
    </w:p>
    <w:p>
      <w:pPr>
        <w:pStyle w:val="3"/>
        <w:widowControl w:val="0"/>
        <w:jc w:val="both"/>
        <w:rPr>
          <w:b/>
          <w:i/>
          <w:smallCaps/>
        </w:rPr>
      </w:pPr>
      <w:r>
        <w:t>L = M x (n/360) x (i) dans laquelle :</w:t>
      </w:r>
    </w:p>
    <w:p>
      <w:pPr>
        <w:pStyle w:val="3"/>
        <w:widowControl w:val="0"/>
        <w:jc w:val="both"/>
        <w:rPr>
          <w:b/>
          <w:i/>
          <w:smallCaps/>
        </w:rPr>
      </w:pPr>
      <w:r>
        <w:t>M = Montant TTC des sommes dues au titulaire ; N = Nombre de jours calendaires de retard ;</w:t>
      </w:r>
    </w:p>
    <w:p>
      <w:pPr>
        <w:pStyle w:val="3"/>
        <w:widowControl w:val="0"/>
        <w:jc w:val="both"/>
        <w:rPr>
          <w:b/>
          <w:i/>
          <w:smallCaps/>
        </w:rPr>
      </w:pPr>
      <w:r>
        <w:t>i = Taux débiteurs des entreprises à la BEAC majoré d’un (01) point ou taux d’escompte pratiqué par la Banque d’émission de la monnaie considérée majoré au plus d’un (01) point, selon le cas.</w:t>
      </w:r>
    </w:p>
    <w:p>
      <w:pPr>
        <w:pStyle w:val="3"/>
        <w:widowControl w:val="0"/>
        <w:jc w:val="both"/>
        <w:rPr>
          <w:sz w:val="10"/>
          <w:szCs w:val="10"/>
        </w:rPr>
      </w:pPr>
    </w:p>
    <w:p>
      <w:pPr>
        <w:pStyle w:val="3"/>
        <w:keepNext/>
        <w:jc w:val="both"/>
        <w:rPr>
          <w:color w:val="000000"/>
        </w:rPr>
      </w:pPr>
      <w:bookmarkStart w:id="157" w:name="_3ws6mnt" w:colFirst="0" w:colLast="0"/>
      <w:bookmarkEnd w:id="157"/>
      <w:r>
        <w:rPr>
          <w:color w:val="000000"/>
        </w:rPr>
        <w:t>Article 40 Pénalités</w:t>
      </w:r>
    </w:p>
    <w:p>
      <w:pPr>
        <w:pStyle w:val="3"/>
        <w:widowControl w:val="0"/>
        <w:numPr>
          <w:ilvl w:val="0"/>
          <w:numId w:val="57"/>
        </w:numPr>
        <w:ind w:left="0" w:firstLine="0"/>
        <w:jc w:val="both"/>
        <w:rPr>
          <w:sz w:val="20"/>
          <w:szCs w:val="20"/>
          <w:u w:val="single"/>
        </w:rPr>
      </w:pPr>
      <w:r>
        <w:rPr>
          <w:u w:val="single"/>
        </w:rPr>
        <w:t>Pénalités de retard</w:t>
      </w:r>
    </w:p>
    <w:p>
      <w:pPr>
        <w:pStyle w:val="3"/>
        <w:widowControl w:val="0"/>
        <w:jc w:val="both"/>
        <w:rPr>
          <w:b/>
          <w:i/>
          <w:smallCaps/>
        </w:rPr>
      </w:pPr>
      <w:r>
        <w:t xml:space="preserve"> 40.1 En cas de dépassement du délai contractuel imputable au titulaire du marché, il lui est appliqué après mise en demeure préalable, une pénalité de retard, dont le montant est fixé comme suit :</w:t>
      </w:r>
    </w:p>
    <w:p>
      <w:pPr>
        <w:pStyle w:val="3"/>
        <w:widowControl w:val="0"/>
        <w:jc w:val="both"/>
        <w:rPr>
          <w:sz w:val="10"/>
          <w:szCs w:val="10"/>
        </w:rPr>
      </w:pPr>
    </w:p>
    <w:p>
      <w:pPr>
        <w:pStyle w:val="3"/>
        <w:widowControl w:val="0"/>
        <w:numPr>
          <w:ilvl w:val="0"/>
          <w:numId w:val="58"/>
        </w:numPr>
        <w:ind w:left="0" w:firstLine="0"/>
        <w:jc w:val="both"/>
        <w:rPr>
          <w:sz w:val="20"/>
          <w:szCs w:val="20"/>
        </w:rPr>
      </w:pPr>
      <w:r>
        <w:t>Un deux millième (1/2000ème) du montant TTC du marché de base par jour calendaire de retard du premier au trentième jour au-delà du délai contractuel fixé par le marché ;</w:t>
      </w:r>
    </w:p>
    <w:p>
      <w:pPr>
        <w:pStyle w:val="3"/>
        <w:widowControl w:val="0"/>
        <w:jc w:val="both"/>
        <w:rPr>
          <w:sz w:val="10"/>
          <w:szCs w:val="10"/>
        </w:rPr>
      </w:pPr>
    </w:p>
    <w:p>
      <w:pPr>
        <w:pStyle w:val="3"/>
        <w:widowControl w:val="0"/>
        <w:numPr>
          <w:ilvl w:val="0"/>
          <w:numId w:val="58"/>
        </w:numPr>
        <w:ind w:left="0" w:firstLine="0"/>
        <w:jc w:val="both"/>
        <w:rPr>
          <w:b/>
          <w:i/>
          <w:smallCaps/>
        </w:rPr>
      </w:pPr>
      <w:r>
        <w:t>Un millième (1/1000</w:t>
      </w:r>
      <w:r>
        <w:rPr>
          <w:vertAlign w:val="superscript"/>
        </w:rPr>
        <w:t>ème</w:t>
      </w:r>
      <w:r>
        <w:t>) du montant TTC du marché de base par jour calendaire de retard au-delà du trentième jour.</w:t>
      </w:r>
    </w:p>
    <w:p>
      <w:pPr>
        <w:pStyle w:val="3"/>
        <w:widowControl w:val="0"/>
        <w:jc w:val="both"/>
        <w:rPr>
          <w:sz w:val="10"/>
          <w:szCs w:val="10"/>
        </w:rPr>
      </w:pPr>
    </w:p>
    <w:p>
      <w:pPr>
        <w:pStyle w:val="3"/>
        <w:widowControl w:val="0"/>
        <w:numPr>
          <w:ilvl w:val="1"/>
          <w:numId w:val="59"/>
        </w:numPr>
        <w:ind w:left="720"/>
        <w:jc w:val="both"/>
        <w:rPr>
          <w:color w:val="000000"/>
        </w:rPr>
      </w:pPr>
      <w:r>
        <w:rPr>
          <w:color w:val="000000"/>
        </w:rPr>
        <w:t>Pour les marchés à tranche conditionnelle, les délais et montants à prendre en compte sont ceux de la tranche considérée.</w:t>
      </w:r>
    </w:p>
    <w:p>
      <w:pPr>
        <w:pStyle w:val="3"/>
        <w:widowControl w:val="0"/>
        <w:ind w:left="435"/>
        <w:jc w:val="both"/>
        <w:rPr>
          <w:color w:val="000000"/>
          <w:sz w:val="10"/>
          <w:szCs w:val="10"/>
        </w:rPr>
      </w:pPr>
    </w:p>
    <w:p>
      <w:pPr>
        <w:pStyle w:val="3"/>
        <w:widowControl w:val="0"/>
        <w:numPr>
          <w:ilvl w:val="0"/>
          <w:numId w:val="57"/>
        </w:numPr>
        <w:ind w:left="0" w:firstLine="0"/>
        <w:jc w:val="both"/>
        <w:rPr>
          <w:sz w:val="20"/>
          <w:szCs w:val="20"/>
          <w:u w:val="single"/>
        </w:rPr>
      </w:pPr>
      <w:r>
        <w:rPr>
          <w:u w:val="single"/>
        </w:rPr>
        <w:t>Pénalités particulières [montant et mode de calcul à préciser]</w:t>
      </w:r>
    </w:p>
    <w:p>
      <w:pPr>
        <w:pStyle w:val="3"/>
        <w:widowControl w:val="0"/>
        <w:jc w:val="both"/>
        <w:rPr>
          <w:b/>
          <w:i/>
          <w:smallCaps/>
        </w:rPr>
      </w:pPr>
      <w:r>
        <w:t>40.3 Indépendamment des pénalités pour dépassement du délai contractuel, le cocontractant est passible des pénalités particulières suivantes pour inobservation des dispositions du contrat, notamment :</w:t>
      </w:r>
    </w:p>
    <w:p>
      <w:pPr>
        <w:pStyle w:val="3"/>
        <w:widowControl w:val="0"/>
        <w:numPr>
          <w:ilvl w:val="0"/>
          <w:numId w:val="21"/>
        </w:numPr>
        <w:ind w:left="567" w:hanging="283"/>
        <w:jc w:val="both"/>
      </w:pPr>
      <w:bookmarkStart w:id="158" w:name="_2bxgwvm" w:colFirst="0" w:colLast="0"/>
      <w:bookmarkEnd w:id="158"/>
      <w:r>
        <w:t>Remise tardive du cautionnement définitif (montant ou modalités à définir) ;</w:t>
      </w:r>
    </w:p>
    <w:p>
      <w:pPr>
        <w:pStyle w:val="3"/>
        <w:widowControl w:val="0"/>
        <w:numPr>
          <w:ilvl w:val="0"/>
          <w:numId w:val="21"/>
        </w:numPr>
        <w:ind w:left="567" w:hanging="283"/>
        <w:jc w:val="both"/>
      </w:pPr>
      <w:r>
        <w:t>Remise tardive des assurances (montant ou modalités à définir) ;</w:t>
      </w:r>
    </w:p>
    <w:p>
      <w:pPr>
        <w:pStyle w:val="3"/>
        <w:widowControl w:val="0"/>
        <w:numPr>
          <w:ilvl w:val="0"/>
          <w:numId w:val="21"/>
        </w:numPr>
        <w:ind w:left="567" w:hanging="283"/>
        <w:jc w:val="both"/>
      </w:pPr>
      <w:r>
        <w:t>Remise tardive du projet d’exécution pour autant que le retard soit du fait du cocontractant de l’administration (montant ou modalités à définir) ;</w:t>
      </w:r>
    </w:p>
    <w:p>
      <w:pPr>
        <w:pStyle w:val="3"/>
        <w:widowControl w:val="0"/>
        <w:numPr>
          <w:ilvl w:val="0"/>
          <w:numId w:val="21"/>
        </w:numPr>
        <w:ind w:left="567" w:hanging="283"/>
        <w:jc w:val="both"/>
      </w:pPr>
      <w:r>
        <w:t>Autres à préciser par le Maître d’ouvrage (montant ou modalités à définir) ;</w:t>
      </w:r>
    </w:p>
    <w:p>
      <w:pPr>
        <w:pStyle w:val="3"/>
        <w:widowControl w:val="0"/>
        <w:ind w:left="567"/>
        <w:jc w:val="both"/>
        <w:rPr>
          <w:sz w:val="10"/>
          <w:szCs w:val="10"/>
        </w:rPr>
      </w:pPr>
    </w:p>
    <w:p>
      <w:pPr>
        <w:pStyle w:val="3"/>
        <w:widowControl w:val="0"/>
        <w:jc w:val="both"/>
        <w:rPr>
          <w:b/>
          <w:i/>
          <w:smallCaps/>
        </w:rPr>
      </w:pPr>
      <w:r>
        <w:t>40.4. En tout état de cause, le montant cumulé des pénalités ne saurait excéder dix pour cent (10%) du montant TTC du marché de base et de ses avenants le cas échéant, sous peine de résiliation.</w:t>
      </w:r>
    </w:p>
    <w:p>
      <w:pPr>
        <w:pStyle w:val="3"/>
        <w:widowControl w:val="0"/>
        <w:jc w:val="both"/>
        <w:rPr>
          <w:b/>
          <w:i/>
          <w:smallCaps/>
        </w:rPr>
      </w:pPr>
      <w:r>
        <w:t>Toute remise de pénalités ne peut intervenir qu’après avis de l’organisme chargé de la régulation des marchés publics requis par le Maître d’Ouvrage ou le Maître d’Ouvrage Délégué.</w:t>
      </w:r>
    </w:p>
    <w:p>
      <w:pPr>
        <w:pStyle w:val="3"/>
        <w:widowControl w:val="0"/>
        <w:jc w:val="both"/>
        <w:rPr>
          <w:sz w:val="10"/>
          <w:szCs w:val="10"/>
        </w:rPr>
      </w:pPr>
    </w:p>
    <w:p>
      <w:pPr>
        <w:pStyle w:val="3"/>
        <w:keepNext/>
        <w:jc w:val="both"/>
        <w:rPr>
          <w:color w:val="000000"/>
        </w:rPr>
      </w:pPr>
      <w:bookmarkStart w:id="159" w:name="_2lfnejv" w:colFirst="0" w:colLast="0"/>
      <w:bookmarkEnd w:id="159"/>
      <w:r>
        <w:rPr>
          <w:color w:val="000000"/>
        </w:rPr>
        <w:t xml:space="preserve">Article 41 Règlement en cas de groupement d’entreprises et de sous-traitance </w:t>
      </w:r>
    </w:p>
    <w:p>
      <w:pPr>
        <w:pStyle w:val="3"/>
        <w:widowControl w:val="0"/>
        <w:jc w:val="both"/>
        <w:rPr>
          <w:b/>
          <w:i/>
          <w:smallCaps/>
        </w:rPr>
      </w:pPr>
      <w:r>
        <w:t>41.1. En cas de groupement solidaire d’entreprises les paiements sont effectués dans le compte indiqué dans la soumission soit au nom du groupement, soit au nom du mandataire [</w:t>
      </w:r>
      <w:r>
        <w:rPr>
          <w:i/>
        </w:rPr>
        <w:t>à préciser le cas échéant</w:t>
      </w:r>
      <w:r>
        <w:t>].</w:t>
      </w:r>
    </w:p>
    <w:p>
      <w:pPr>
        <w:pStyle w:val="3"/>
        <w:widowControl w:val="0"/>
        <w:jc w:val="both"/>
        <w:rPr>
          <w:b/>
          <w:i/>
          <w:smallCaps/>
        </w:rPr>
      </w:pPr>
      <w:r>
        <w:t>En cas de groupement conjoint, les paiements seront effectués dans les différents comptes des cotraitants de la manière suivante : [</w:t>
      </w:r>
      <w:r>
        <w:rPr>
          <w:i/>
        </w:rPr>
        <w:t>à préciser le cas échéant</w:t>
      </w:r>
      <w:r>
        <w:t>].</w:t>
      </w:r>
    </w:p>
    <w:p>
      <w:pPr>
        <w:pStyle w:val="3"/>
        <w:widowControl w:val="0"/>
        <w:jc w:val="both"/>
        <w:rPr>
          <w:sz w:val="10"/>
          <w:szCs w:val="10"/>
        </w:rPr>
      </w:pPr>
    </w:p>
    <w:p>
      <w:pPr>
        <w:pStyle w:val="3"/>
        <w:jc w:val="both"/>
        <w:rPr>
          <w:b/>
          <w:i/>
          <w:smallCaps/>
        </w:rPr>
      </w:pPr>
      <w: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pPr>
        <w:pStyle w:val="3"/>
        <w:jc w:val="both"/>
        <w:rPr>
          <w:sz w:val="10"/>
          <w:szCs w:val="10"/>
        </w:rPr>
      </w:pPr>
    </w:p>
    <w:p>
      <w:pPr>
        <w:pStyle w:val="3"/>
        <w:jc w:val="both"/>
        <w:rPr>
          <w:b/>
          <w:i/>
          <w:smallCaps/>
        </w:rPr>
      </w:pPr>
      <w:r>
        <w:t xml:space="preserve">L’Entreprise principale dispose d’un délai maximal de trente (30) jours ouvrables à compter de la date de rémunération de la facture des prestations exécutées et réceptionnées pour effectuer le paiement du sous-traitant. </w:t>
      </w:r>
    </w:p>
    <w:p>
      <w:pPr>
        <w:pStyle w:val="3"/>
        <w:jc w:val="both"/>
        <w:rPr>
          <w:sz w:val="10"/>
          <w:szCs w:val="10"/>
        </w:rPr>
      </w:pPr>
    </w:p>
    <w:p>
      <w:pPr>
        <w:pStyle w:val="3"/>
        <w:widowControl w:val="0"/>
        <w:jc w:val="both"/>
        <w:rPr>
          <w:b/>
          <w:i/>
          <w:smallCaps/>
        </w:rPr>
      </w:pPr>
      <w: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pPr>
        <w:pStyle w:val="3"/>
        <w:widowControl w:val="0"/>
        <w:jc w:val="both"/>
        <w:rPr>
          <w:sz w:val="10"/>
          <w:szCs w:val="10"/>
        </w:rPr>
      </w:pPr>
    </w:p>
    <w:p>
      <w:pPr>
        <w:pStyle w:val="3"/>
        <w:keepNext/>
        <w:jc w:val="both"/>
        <w:rPr>
          <w:color w:val="000000"/>
        </w:rPr>
      </w:pPr>
      <w:bookmarkStart w:id="160" w:name="_10kxoro" w:colFirst="0" w:colLast="0"/>
      <w:bookmarkEnd w:id="160"/>
      <w:r>
        <w:rPr>
          <w:color w:val="000000"/>
        </w:rPr>
        <w:t xml:space="preserve">Article 42 Régime fiscal et douanier </w:t>
      </w:r>
    </w:p>
    <w:p>
      <w:pPr>
        <w:pStyle w:val="3"/>
        <w:widowControl w:val="0"/>
        <w:jc w:val="both"/>
        <w:rPr>
          <w:color w:val="000000"/>
          <w:sz w:val="20"/>
          <w:szCs w:val="20"/>
        </w:rPr>
      </w:pPr>
      <w:r>
        <w:rPr>
          <w:color w:val="000000"/>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p>
    <w:p>
      <w:pPr>
        <w:pStyle w:val="3"/>
        <w:widowControl w:val="0"/>
        <w:jc w:val="both"/>
        <w:rPr>
          <w:i/>
          <w:color w:val="000000"/>
          <w:sz w:val="10"/>
          <w:szCs w:val="10"/>
        </w:rPr>
      </w:pPr>
    </w:p>
    <w:p>
      <w:pPr>
        <w:pStyle w:val="3"/>
        <w:widowControl w:val="0"/>
        <w:jc w:val="both"/>
        <w:rPr>
          <w:color w:val="000000"/>
          <w:sz w:val="20"/>
          <w:szCs w:val="20"/>
        </w:rPr>
      </w:pPr>
      <w:r>
        <w:rPr>
          <w:color w:val="000000"/>
        </w:rPr>
        <w:t>La fiscalité applicable au présent marché comporte notamment :</w:t>
      </w:r>
    </w:p>
    <w:p>
      <w:pPr>
        <w:pStyle w:val="3"/>
        <w:widowControl w:val="0"/>
        <w:numPr>
          <w:ilvl w:val="0"/>
          <w:numId w:val="60"/>
        </w:numPr>
        <w:jc w:val="both"/>
        <w:rPr>
          <w:color w:val="000000"/>
          <w:sz w:val="20"/>
          <w:szCs w:val="20"/>
        </w:rPr>
      </w:pPr>
      <w:r>
        <w:rPr>
          <w:color w:val="000000"/>
        </w:rPr>
        <w:t>Des impôts et taxes relatifs aux bénéfices industriels et commerciaux, y compris l’AIR qui constitue un précompte sur l’impôt des sociétés;</w:t>
      </w:r>
    </w:p>
    <w:p>
      <w:pPr>
        <w:pStyle w:val="3"/>
        <w:widowControl w:val="0"/>
        <w:numPr>
          <w:ilvl w:val="0"/>
          <w:numId w:val="60"/>
        </w:numPr>
        <w:jc w:val="both"/>
        <w:rPr>
          <w:color w:val="000000"/>
          <w:sz w:val="20"/>
          <w:szCs w:val="20"/>
        </w:rPr>
      </w:pPr>
      <w:r>
        <w:rPr>
          <w:color w:val="000000"/>
        </w:rPr>
        <w:t>Des droits d’enregistrement calculés conformément aux stipulations du code des impôts;</w:t>
      </w:r>
    </w:p>
    <w:p>
      <w:pPr>
        <w:pStyle w:val="3"/>
        <w:widowControl w:val="0"/>
        <w:numPr>
          <w:ilvl w:val="0"/>
          <w:numId w:val="60"/>
        </w:numPr>
        <w:jc w:val="both"/>
        <w:rPr>
          <w:color w:val="000000"/>
          <w:sz w:val="20"/>
          <w:szCs w:val="20"/>
        </w:rPr>
      </w:pPr>
      <w:r>
        <w:rPr>
          <w:color w:val="000000"/>
        </w:rPr>
        <w:t>Des droits et taxes attachés à la réalisation des prestations prévues par le marché:</w:t>
      </w:r>
    </w:p>
    <w:p>
      <w:pPr>
        <w:pStyle w:val="3"/>
        <w:widowControl w:val="0"/>
        <w:numPr>
          <w:ilvl w:val="3"/>
          <w:numId w:val="61"/>
        </w:numPr>
        <w:jc w:val="both"/>
        <w:rPr>
          <w:color w:val="000000"/>
          <w:sz w:val="20"/>
          <w:szCs w:val="20"/>
        </w:rPr>
      </w:pPr>
      <w:r>
        <w:rPr>
          <w:color w:val="000000"/>
        </w:rPr>
        <w:t>Des droits et taxes d’entrée sur le territoire camerounais (droits de douanes, TVA, taxe informatique);</w:t>
      </w:r>
    </w:p>
    <w:p>
      <w:pPr>
        <w:pStyle w:val="3"/>
        <w:widowControl w:val="0"/>
        <w:numPr>
          <w:ilvl w:val="3"/>
          <w:numId w:val="61"/>
        </w:numPr>
        <w:jc w:val="both"/>
        <w:rPr>
          <w:color w:val="000000"/>
          <w:sz w:val="20"/>
          <w:szCs w:val="20"/>
        </w:rPr>
      </w:pPr>
      <w:r>
        <w:rPr>
          <w:color w:val="000000"/>
        </w:rPr>
        <w:t>Des droits et taxes communaux,</w:t>
      </w:r>
    </w:p>
    <w:p>
      <w:pPr>
        <w:pStyle w:val="3"/>
        <w:widowControl w:val="0"/>
        <w:numPr>
          <w:ilvl w:val="3"/>
          <w:numId w:val="61"/>
        </w:numPr>
        <w:jc w:val="both"/>
        <w:rPr>
          <w:color w:val="000000"/>
          <w:sz w:val="20"/>
          <w:szCs w:val="20"/>
        </w:rPr>
      </w:pPr>
      <w:r>
        <w:rPr>
          <w:color w:val="000000"/>
        </w:rPr>
        <w:t>Des droits et taxes relatifs aux prélèvements des matériaux et d’eau.</w:t>
      </w:r>
    </w:p>
    <w:p>
      <w:pPr>
        <w:pStyle w:val="3"/>
        <w:widowControl w:val="0"/>
        <w:ind w:left="2880"/>
        <w:jc w:val="both"/>
        <w:rPr>
          <w:color w:val="000000"/>
          <w:sz w:val="10"/>
          <w:szCs w:val="10"/>
        </w:rPr>
      </w:pPr>
    </w:p>
    <w:p>
      <w:pPr>
        <w:pStyle w:val="3"/>
        <w:widowControl w:val="0"/>
        <w:jc w:val="both"/>
        <w:rPr>
          <w:color w:val="000000"/>
          <w:sz w:val="20"/>
          <w:szCs w:val="20"/>
        </w:rPr>
      </w:pPr>
      <w:r>
        <w:rPr>
          <w:color w:val="000000"/>
        </w:rPr>
        <w:t>Ces éléments doivent être intégrés dans les charges que le cocontractant impute sur ses coûts d’intervention et constituer l’un des éléments des sous-détails des prix hors taxes.</w:t>
      </w:r>
    </w:p>
    <w:p>
      <w:pPr>
        <w:pStyle w:val="3"/>
        <w:widowControl w:val="0"/>
        <w:jc w:val="both"/>
        <w:rPr>
          <w:color w:val="000000"/>
          <w:sz w:val="20"/>
          <w:szCs w:val="20"/>
        </w:rPr>
      </w:pPr>
      <w:r>
        <w:rPr>
          <w:color w:val="000000"/>
        </w:rPr>
        <w:t>Le prix TTC s’entend TVA incluse.</w:t>
      </w:r>
    </w:p>
    <w:p>
      <w:pPr>
        <w:pStyle w:val="3"/>
        <w:widowControl w:val="0"/>
        <w:jc w:val="both"/>
        <w:rPr>
          <w:color w:val="000000"/>
          <w:sz w:val="20"/>
          <w:szCs w:val="20"/>
        </w:rPr>
      </w:pPr>
      <w:r>
        <w:rPr>
          <w:color w:val="000000"/>
        </w:rPr>
        <w:t>Sauf mention spécifique contraire figurant au Marché, le cocontractant devra supporter et payer tous droits, taxes, impôts et charges lui incombant ainsi qu’à ses sous-traitants.</w:t>
      </w:r>
    </w:p>
    <w:p>
      <w:pPr>
        <w:pStyle w:val="3"/>
        <w:widowControl w:val="0"/>
        <w:jc w:val="both"/>
        <w:rPr>
          <w:sz w:val="10"/>
          <w:szCs w:val="10"/>
        </w:rPr>
      </w:pPr>
    </w:p>
    <w:p>
      <w:pPr>
        <w:pStyle w:val="3"/>
        <w:keepNext/>
        <w:jc w:val="both"/>
        <w:rPr>
          <w:color w:val="000000"/>
        </w:rPr>
      </w:pPr>
      <w:bookmarkStart w:id="161" w:name="_3kkl7fh" w:colFirst="0" w:colLast="0"/>
      <w:bookmarkEnd w:id="161"/>
      <w:r>
        <w:rPr>
          <w:color w:val="000000"/>
        </w:rPr>
        <w:t xml:space="preserve">Article 43 Timbres et enregistrement des marchés </w:t>
      </w:r>
    </w:p>
    <w:p>
      <w:pPr>
        <w:pStyle w:val="3"/>
        <w:widowControl w:val="0"/>
        <w:jc w:val="both"/>
      </w:pPr>
      <w:r>
        <w:t>Sept (07) exemplaires originaux du marché seront timbrés et enregistrés par les soins et aux frais du co-contractant de l’administration, conformément à la règlementation en vigueur.</w:t>
      </w:r>
    </w:p>
    <w:p>
      <w:pPr>
        <w:pStyle w:val="3"/>
        <w:widowControl w:val="0"/>
        <w:jc w:val="both"/>
        <w:rPr>
          <w:b/>
          <w:sz w:val="10"/>
          <w:szCs w:val="10"/>
        </w:rPr>
      </w:pPr>
    </w:p>
    <w:p>
      <w:pPr>
        <w:pStyle w:val="3"/>
        <w:keepNext/>
        <w:numPr>
          <w:ilvl w:val="0"/>
          <w:numId w:val="40"/>
        </w:numPr>
        <w:ind w:left="714" w:hanging="357"/>
        <w:jc w:val="center"/>
      </w:pPr>
      <w:bookmarkStart w:id="162" w:name="_r2r73f" w:colFirst="0" w:colLast="0"/>
      <w:bookmarkEnd w:id="162"/>
      <w:r>
        <w:rPr>
          <w:smallCaps/>
          <w:color w:val="000000"/>
          <w:sz w:val="32"/>
          <w:szCs w:val="32"/>
        </w:rPr>
        <w:t xml:space="preserve"> DISPOSITIONS DIVERSES</w:t>
      </w:r>
    </w:p>
    <w:p>
      <w:pPr>
        <w:pStyle w:val="3"/>
        <w:keepNext/>
        <w:jc w:val="both"/>
        <w:rPr>
          <w:color w:val="000000"/>
        </w:rPr>
      </w:pPr>
      <w:bookmarkStart w:id="163" w:name="_4jpj0b3" w:colFirst="0" w:colLast="0"/>
      <w:bookmarkEnd w:id="163"/>
      <w:r>
        <w:rPr>
          <w:color w:val="000000"/>
        </w:rPr>
        <w:t xml:space="preserve">Article 44-Résiliation du marché </w:t>
      </w:r>
    </w:p>
    <w:p>
      <w:pPr>
        <w:pStyle w:val="3"/>
        <w:widowControl w:val="0"/>
        <w:jc w:val="both"/>
        <w:rPr>
          <w:b/>
          <w:i/>
          <w:smallCaps/>
        </w:rPr>
      </w:pPr>
      <w:bookmarkStart w:id="164" w:name="_3b2epr8" w:colFirst="0" w:colLast="0"/>
      <w:bookmarkEnd w:id="164"/>
      <w:r>
        <w:t>44.1 Le marché est résilié de plein droit dans l’un des cas suivants :</w:t>
      </w:r>
    </w:p>
    <w:p>
      <w:pPr>
        <w:pStyle w:val="3"/>
        <w:widowControl w:val="0"/>
        <w:numPr>
          <w:ilvl w:val="0"/>
          <w:numId w:val="62"/>
        </w:numPr>
        <w:ind w:left="720"/>
        <w:jc w:val="both"/>
      </w:pPr>
      <w:r>
        <w:rPr>
          <w:color w:val="000000"/>
        </w:rPr>
        <w:t>Décès du titulaire du marché. Dans ce cas, le Maître d’Ouvrage ou le Maître d’Ouvrage Délégué peut, s’il y a lieu, autoriser que soient acceptées les propositions présentées par les ayant droits pour la continuation des prestations ;</w:t>
      </w:r>
    </w:p>
    <w:p>
      <w:pPr>
        <w:pStyle w:val="3"/>
        <w:widowControl w:val="0"/>
        <w:ind w:left="786"/>
        <w:jc w:val="both"/>
        <w:rPr>
          <w:color w:val="000000"/>
          <w:sz w:val="10"/>
          <w:szCs w:val="10"/>
        </w:rPr>
      </w:pPr>
    </w:p>
    <w:p>
      <w:pPr>
        <w:pStyle w:val="3"/>
        <w:widowControl w:val="0"/>
        <w:numPr>
          <w:ilvl w:val="0"/>
          <w:numId w:val="62"/>
        </w:numPr>
        <w:ind w:left="720"/>
        <w:jc w:val="both"/>
      </w:pPr>
      <w:r>
        <w:rPr>
          <w:color w:val="000000"/>
        </w:rPr>
        <w:t>Faillite du titulaire du marché. Dans ce cas, le Maître d’Ouvrage peut accepter s’il y a lieu, des propositions qui peuvent être présentées par les créanciers pour la continuation des prestations ;</w:t>
      </w:r>
    </w:p>
    <w:p>
      <w:pPr>
        <w:pStyle w:val="3"/>
        <w:widowControl w:val="0"/>
        <w:jc w:val="both"/>
        <w:rPr>
          <w:sz w:val="10"/>
          <w:szCs w:val="10"/>
        </w:rPr>
      </w:pPr>
    </w:p>
    <w:p>
      <w:pPr>
        <w:pStyle w:val="3"/>
        <w:widowControl w:val="0"/>
        <w:numPr>
          <w:ilvl w:val="0"/>
          <w:numId w:val="62"/>
        </w:numPr>
        <w:ind w:left="720"/>
        <w:jc w:val="both"/>
      </w:pPr>
      <w:r>
        <w:rPr>
          <w:color w:val="000000"/>
        </w:rPr>
        <w:t>Liquidation judiciaire, si le co-contractant de l’Administration n’est pas autorisé par le tribunal à continuer l’exploitation de son entreprise ;</w:t>
      </w:r>
    </w:p>
    <w:p>
      <w:pPr>
        <w:pStyle w:val="3"/>
        <w:widowControl w:val="0"/>
        <w:jc w:val="both"/>
        <w:rPr>
          <w:sz w:val="10"/>
          <w:szCs w:val="10"/>
        </w:rPr>
      </w:pPr>
    </w:p>
    <w:p>
      <w:pPr>
        <w:pStyle w:val="3"/>
        <w:widowControl w:val="0"/>
        <w:numPr>
          <w:ilvl w:val="0"/>
          <w:numId w:val="62"/>
        </w:numPr>
        <w:ind w:left="720"/>
        <w:jc w:val="both"/>
      </w:pPr>
      <w:r>
        <w:rPr>
          <w:color w:val="000000"/>
        </w:rPr>
        <w:t>En cas de sous-traitance, de co-traitance ou de sous-commande sans autorisation préalable du Maître d’Ouvrage ou du Maître d’Ouvrage Délégué ;</w:t>
      </w:r>
    </w:p>
    <w:p>
      <w:pPr>
        <w:pStyle w:val="3"/>
        <w:widowControl w:val="0"/>
        <w:jc w:val="both"/>
        <w:rPr>
          <w:sz w:val="10"/>
          <w:szCs w:val="10"/>
        </w:rPr>
      </w:pPr>
    </w:p>
    <w:p>
      <w:pPr>
        <w:pStyle w:val="3"/>
        <w:widowControl w:val="0"/>
        <w:numPr>
          <w:ilvl w:val="0"/>
          <w:numId w:val="62"/>
        </w:numPr>
        <w:ind w:left="720"/>
        <w:jc w:val="both"/>
      </w:pPr>
      <w:r>
        <w:rPr>
          <w:color w:val="000000"/>
        </w:rPr>
        <w:t xml:space="preserve">Défaillance du cocontractant de l’Administration dûment notifiée à ce dernier par le Maître d’Ouvrage ou le Maître d’Ouvrage Délégué par ordre de service valant mise en demeure et après évaluation et constat de la carence : </w:t>
      </w:r>
    </w:p>
    <w:p>
      <w:pPr>
        <w:pStyle w:val="3"/>
        <w:widowControl w:val="0"/>
        <w:jc w:val="both"/>
        <w:rPr>
          <w:sz w:val="10"/>
          <w:szCs w:val="10"/>
        </w:rPr>
      </w:pPr>
    </w:p>
    <w:p>
      <w:pPr>
        <w:pStyle w:val="3"/>
        <w:widowControl w:val="0"/>
        <w:numPr>
          <w:ilvl w:val="0"/>
          <w:numId w:val="62"/>
        </w:numPr>
        <w:ind w:left="720"/>
        <w:jc w:val="both"/>
      </w:pPr>
      <w:r>
        <w:rPr>
          <w:color w:val="000000"/>
        </w:rPr>
        <w:t>Non-respect de la législation ou de la réglementation du travail ;</w:t>
      </w:r>
    </w:p>
    <w:p>
      <w:pPr>
        <w:pStyle w:val="3"/>
        <w:widowControl w:val="0"/>
        <w:jc w:val="both"/>
        <w:rPr>
          <w:sz w:val="10"/>
          <w:szCs w:val="10"/>
        </w:rPr>
      </w:pPr>
    </w:p>
    <w:p>
      <w:pPr>
        <w:pStyle w:val="3"/>
        <w:widowControl w:val="0"/>
        <w:numPr>
          <w:ilvl w:val="0"/>
          <w:numId w:val="62"/>
        </w:numPr>
        <w:ind w:left="720"/>
        <w:jc w:val="both"/>
      </w:pPr>
      <w:r>
        <w:rPr>
          <w:color w:val="000000"/>
        </w:rPr>
        <w:t>Variation importante des prix dans les conditions définies par le cahier des clauses administratives générales, suite à la modification des conditions économiques ou des quantités initiales du marché ;</w:t>
      </w:r>
    </w:p>
    <w:p>
      <w:pPr>
        <w:pStyle w:val="3"/>
        <w:widowControl w:val="0"/>
        <w:jc w:val="both"/>
        <w:rPr>
          <w:sz w:val="10"/>
          <w:szCs w:val="10"/>
        </w:rPr>
      </w:pPr>
    </w:p>
    <w:p>
      <w:pPr>
        <w:pStyle w:val="3"/>
        <w:widowControl w:val="0"/>
        <w:numPr>
          <w:ilvl w:val="0"/>
          <w:numId w:val="62"/>
        </w:numPr>
        <w:ind w:left="720"/>
        <w:jc w:val="both"/>
      </w:pPr>
      <w:r>
        <w:rPr>
          <w:color w:val="000000"/>
        </w:rPr>
        <w:t xml:space="preserve">Manœuvres frauduleuses et corruption dûment constatées. </w:t>
      </w:r>
    </w:p>
    <w:p>
      <w:pPr>
        <w:pStyle w:val="3"/>
        <w:widowControl w:val="0"/>
        <w:jc w:val="both"/>
        <w:rPr>
          <w:sz w:val="10"/>
          <w:szCs w:val="10"/>
        </w:rPr>
      </w:pPr>
    </w:p>
    <w:p>
      <w:pPr>
        <w:pStyle w:val="3"/>
        <w:widowControl w:val="0"/>
        <w:jc w:val="both"/>
        <w:rPr>
          <w:b/>
          <w:i/>
          <w:smallCaps/>
        </w:rPr>
      </w:pPr>
      <w:r>
        <w:t>44.2 Le marché peut également être résilié dans les conditions stipulées dans le CCAG, notamment dans l’un des cas suivants :</w:t>
      </w:r>
    </w:p>
    <w:p>
      <w:pPr>
        <w:pStyle w:val="3"/>
        <w:widowControl w:val="0"/>
        <w:numPr>
          <w:ilvl w:val="0"/>
          <w:numId w:val="21"/>
        </w:numPr>
        <w:ind w:left="567" w:hanging="283"/>
        <w:jc w:val="both"/>
      </w:pPr>
      <w:r>
        <w:t>Retard dans les travaux entraînant des pénalités au-delà de 10% du montant du marché TTC ;</w:t>
      </w:r>
    </w:p>
    <w:p>
      <w:pPr>
        <w:pStyle w:val="3"/>
        <w:widowControl w:val="0"/>
        <w:numPr>
          <w:ilvl w:val="0"/>
          <w:numId w:val="21"/>
        </w:numPr>
        <w:ind w:left="567" w:hanging="283"/>
        <w:jc w:val="both"/>
      </w:pPr>
      <w:r>
        <w:t xml:space="preserve">Ajournement ou interruption prolongée décidée par le Maitre d’Ouvrage ou le Maitre d’Ouvrage Délégué ; </w:t>
      </w:r>
    </w:p>
    <w:p>
      <w:pPr>
        <w:pStyle w:val="3"/>
        <w:widowControl w:val="0"/>
        <w:numPr>
          <w:ilvl w:val="0"/>
          <w:numId w:val="21"/>
        </w:numPr>
        <w:ind w:left="567" w:hanging="283"/>
        <w:jc w:val="both"/>
      </w:pPr>
      <w:r>
        <w:t>Non-paiement persistant des prestations ;</w:t>
      </w:r>
    </w:p>
    <w:p>
      <w:pPr>
        <w:pStyle w:val="3"/>
        <w:widowControl w:val="0"/>
        <w:numPr>
          <w:ilvl w:val="0"/>
          <w:numId w:val="21"/>
        </w:numPr>
        <w:ind w:left="567" w:hanging="283"/>
        <w:jc w:val="both"/>
      </w:pPr>
      <w:r>
        <w:t>Refus de la reprise des travaux mal exécutés.</w:t>
      </w:r>
    </w:p>
    <w:p>
      <w:pPr>
        <w:pStyle w:val="3"/>
        <w:widowControl w:val="0"/>
        <w:ind w:left="567"/>
        <w:jc w:val="both"/>
        <w:rPr>
          <w:sz w:val="10"/>
          <w:szCs w:val="10"/>
        </w:rPr>
      </w:pPr>
    </w:p>
    <w:p>
      <w:pPr>
        <w:pStyle w:val="3"/>
        <w:widowControl w:val="0"/>
        <w:jc w:val="both"/>
        <w:rPr>
          <w:b/>
          <w:i/>
          <w:smallCaps/>
        </w:rPr>
      </w:pPr>
      <w:r>
        <w:t>44.3 Le marché peut également être résilié sans tort des titulaires, notamment dans l’un des cas suivants :</w:t>
      </w:r>
    </w:p>
    <w:p>
      <w:pPr>
        <w:pStyle w:val="3"/>
        <w:widowControl w:val="0"/>
        <w:numPr>
          <w:ilvl w:val="0"/>
          <w:numId w:val="21"/>
        </w:numPr>
        <w:ind w:left="567" w:hanging="283"/>
        <w:jc w:val="both"/>
      </w:pPr>
      <w:r>
        <w:t>Force majeure et après avis de l’Autorité chargée des marchés publics en l’absence de toute responsabilité du cocontractant de l’administration sans préjudice des indemnités auxquels ce dernier peut prétendre ;</w:t>
      </w:r>
    </w:p>
    <w:p>
      <w:pPr>
        <w:pStyle w:val="3"/>
        <w:widowControl w:val="0"/>
        <w:numPr>
          <w:ilvl w:val="0"/>
          <w:numId w:val="21"/>
        </w:numPr>
        <w:ind w:left="567" w:hanging="283"/>
        <w:jc w:val="both"/>
        <w:rPr>
          <w:i/>
          <w:smallCaps/>
        </w:rPr>
      </w:pPr>
      <w:r>
        <w:t>Non-paiement persistant des prestations.</w:t>
      </w:r>
    </w:p>
    <w:p>
      <w:pPr>
        <w:pStyle w:val="3"/>
        <w:widowControl w:val="0"/>
        <w:numPr>
          <w:ilvl w:val="0"/>
          <w:numId w:val="21"/>
        </w:numPr>
        <w:ind w:left="567" w:hanging="283"/>
        <w:jc w:val="both"/>
        <w:rPr>
          <w:i/>
          <w:smallCaps/>
        </w:rPr>
      </w:pPr>
      <w:r>
        <w:t>Motif d’intérêt général.</w:t>
      </w:r>
    </w:p>
    <w:p>
      <w:pPr>
        <w:pStyle w:val="3"/>
        <w:widowControl w:val="0"/>
        <w:ind w:left="567"/>
        <w:jc w:val="both"/>
        <w:rPr>
          <w:sz w:val="10"/>
          <w:szCs w:val="10"/>
        </w:rPr>
      </w:pPr>
    </w:p>
    <w:p>
      <w:pPr>
        <w:pStyle w:val="3"/>
        <w:keepNext/>
        <w:jc w:val="both"/>
        <w:rPr>
          <w:color w:val="000000"/>
        </w:rPr>
      </w:pPr>
      <w:bookmarkStart w:id="165" w:name="_1q7ozz1" w:colFirst="0" w:colLast="0"/>
      <w:bookmarkEnd w:id="165"/>
      <w:r>
        <w:rPr>
          <w:color w:val="000000"/>
        </w:rPr>
        <w:t>Article 45 Cas de force majeure</w:t>
      </w:r>
    </w:p>
    <w:p>
      <w:pPr>
        <w:pStyle w:val="3"/>
        <w:widowControl w:val="0"/>
        <w:jc w:val="both"/>
        <w:rPr>
          <w:color w:val="ED7D31"/>
          <w:sz w:val="20"/>
          <w:szCs w:val="20"/>
        </w:rPr>
      </w:pPr>
      <w:bookmarkStart w:id="166" w:name="_4a7cimu" w:colFirst="0" w:colLast="0"/>
      <w:bookmarkEnd w:id="166"/>
      <w: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pPr>
        <w:pStyle w:val="3"/>
        <w:widowControl w:val="0"/>
        <w:jc w:val="both"/>
        <w:rPr>
          <w:b/>
          <w:i/>
          <w:smallCaps/>
        </w:rPr>
      </w:pPr>
      <w:r>
        <w:t>Aux fins du présent marché, la « force majeure » désigne [Préciser les dispositions du CCAG et certaines situations particulières le cas échéant].</w:t>
      </w:r>
    </w:p>
    <w:p>
      <w:pPr>
        <w:pStyle w:val="3"/>
        <w:widowControl w:val="0"/>
        <w:jc w:val="both"/>
        <w:rPr>
          <w:sz w:val="10"/>
          <w:szCs w:val="10"/>
        </w:rPr>
      </w:pPr>
      <w:r>
        <w:t xml:space="preserve"> </w:t>
      </w:r>
    </w:p>
    <w:p>
      <w:pPr>
        <w:pStyle w:val="3"/>
        <w:widowControl w:val="0"/>
        <w:jc w:val="both"/>
        <w:rPr>
          <w:b/>
          <w:i/>
          <w:smallCaps/>
        </w:rPr>
      </w:pPr>
      <w:r>
        <w:t>Les cas de force majeure seront constatés conformément aux dispositions du CCAG. Il appartient au Maître d’Ouvrage d’apprécier le caractère de force majeure et les justificatifs fournis.</w:t>
      </w:r>
    </w:p>
    <w:p>
      <w:pPr>
        <w:pStyle w:val="3"/>
        <w:widowControl w:val="0"/>
        <w:jc w:val="both"/>
        <w:rPr>
          <w:b/>
          <w:i/>
          <w:smallCaps/>
        </w:rPr>
      </w:pPr>
      <w:r>
        <w:t>Dans le cas où le cocontractant invoquerait le cas de force majeure relevant des conditions météorologiques, les seuils en deçà desquels aucune réclamation ne sera admise sont :</w:t>
      </w:r>
    </w:p>
    <w:p>
      <w:pPr>
        <w:pStyle w:val="3"/>
        <w:widowControl w:val="0"/>
        <w:numPr>
          <w:ilvl w:val="0"/>
          <w:numId w:val="21"/>
        </w:numPr>
        <w:ind w:left="567" w:hanging="283"/>
        <w:jc w:val="both"/>
        <w:rPr>
          <w:i/>
          <w:smallCaps/>
        </w:rPr>
      </w:pPr>
      <w:r>
        <w:rPr>
          <w:i/>
        </w:rPr>
        <w:t>Pluie : 200 millimètres en 24 heures ;</w:t>
      </w:r>
    </w:p>
    <w:p>
      <w:pPr>
        <w:pStyle w:val="3"/>
        <w:widowControl w:val="0"/>
        <w:numPr>
          <w:ilvl w:val="0"/>
          <w:numId w:val="21"/>
        </w:numPr>
        <w:ind w:left="567" w:hanging="283"/>
        <w:jc w:val="both"/>
        <w:rPr>
          <w:i/>
          <w:smallCaps/>
        </w:rPr>
      </w:pPr>
      <w:r>
        <w:rPr>
          <w:i/>
        </w:rPr>
        <w:t>Vent : 40 mètres par seconde ;</w:t>
      </w:r>
    </w:p>
    <w:p>
      <w:pPr>
        <w:pStyle w:val="3"/>
        <w:widowControl w:val="0"/>
        <w:numPr>
          <w:ilvl w:val="0"/>
          <w:numId w:val="21"/>
        </w:numPr>
        <w:ind w:left="567" w:hanging="283"/>
        <w:jc w:val="both"/>
        <w:rPr>
          <w:i/>
          <w:smallCaps/>
        </w:rPr>
      </w:pPr>
      <w:r>
        <w:rPr>
          <w:i/>
        </w:rPr>
        <w:t>Crue : la crue de fréquence décennale.</w:t>
      </w:r>
    </w:p>
    <w:p>
      <w:pPr>
        <w:pStyle w:val="3"/>
        <w:widowControl w:val="0"/>
        <w:jc w:val="both"/>
        <w:rPr>
          <w:sz w:val="10"/>
          <w:szCs w:val="10"/>
        </w:rPr>
      </w:pPr>
    </w:p>
    <w:p>
      <w:pPr>
        <w:pStyle w:val="3"/>
        <w:keepNext/>
        <w:jc w:val="both"/>
        <w:rPr>
          <w:color w:val="000000"/>
        </w:rPr>
      </w:pPr>
      <w:bookmarkStart w:id="167" w:name="_1e03kqp" w:colFirst="0" w:colLast="0"/>
      <w:bookmarkEnd w:id="167"/>
      <w:r>
        <w:rPr>
          <w:color w:val="000000"/>
        </w:rPr>
        <w:t xml:space="preserve">Article 46- Différends et litiges </w:t>
      </w:r>
    </w:p>
    <w:p>
      <w:pPr>
        <w:pStyle w:val="3"/>
        <w:widowControl w:val="0"/>
        <w:jc w:val="both"/>
        <w:rPr>
          <w:sz w:val="20"/>
          <w:szCs w:val="20"/>
        </w:rPr>
      </w:pPr>
      <w:r>
        <w:t>Les différends ou litiges nés de l’exécution du présent marché peuvent faire l’objet d’un règlement à l’amiable.</w:t>
      </w:r>
    </w:p>
    <w:p>
      <w:pPr>
        <w:pStyle w:val="3"/>
        <w:widowControl w:val="0"/>
        <w:jc w:val="both"/>
        <w:rPr>
          <w:i/>
          <w:sz w:val="20"/>
          <w:szCs w:val="20"/>
        </w:rPr>
      </w:pPr>
      <w:r>
        <w:t xml:space="preserve">Lorsqu’aucune solution amiable ne peut être apportée au différend, celui-ci est porté devant la juridiction camerounaise compétente, sous réserve des dispositions suivantes : </w:t>
      </w:r>
      <w:r>
        <w:rPr>
          <w:i/>
        </w:rPr>
        <w:t>[A remplir, le cas échéant]</w:t>
      </w:r>
    </w:p>
    <w:p>
      <w:pPr>
        <w:pStyle w:val="3"/>
        <w:widowControl w:val="0"/>
        <w:jc w:val="both"/>
        <w:rPr>
          <w:sz w:val="10"/>
          <w:szCs w:val="10"/>
        </w:rPr>
      </w:pPr>
    </w:p>
    <w:p>
      <w:pPr>
        <w:pStyle w:val="3"/>
        <w:keepNext/>
        <w:jc w:val="both"/>
        <w:rPr>
          <w:color w:val="000000"/>
        </w:rPr>
      </w:pPr>
      <w:bookmarkStart w:id="168" w:name="_2pcmsun" w:colFirst="0" w:colLast="0"/>
      <w:bookmarkEnd w:id="168"/>
      <w:r>
        <w:rPr>
          <w:color w:val="000000"/>
        </w:rPr>
        <w:t>Article 47- Edition et diffusion du présent marché</w:t>
      </w:r>
    </w:p>
    <w:p>
      <w:pPr>
        <w:pStyle w:val="3"/>
        <w:widowControl w:val="0"/>
        <w:jc w:val="both"/>
        <w:rPr>
          <w:b/>
          <w:i/>
          <w:smallCaps/>
        </w:rPr>
      </w:pPr>
      <w:r>
        <w:t xml:space="preserve">La rédaction ou la mise en forme des documents constitutifs du marché sont assurées par le Maître d’Ouvrage. La reproduction de </w:t>
      </w:r>
      <w:r>
        <w:rPr>
          <w:i/>
        </w:rPr>
        <w:t xml:space="preserve">[Vingt (20)] </w:t>
      </w:r>
      <w:r>
        <w:t xml:space="preserve">exemplaires du présent marché à faire souscrire par le cocontractant est à la charge du Maître d’Ouvrage ou Maître d’Ouvrage Délégué. </w:t>
      </w:r>
    </w:p>
    <w:p>
      <w:pPr>
        <w:pStyle w:val="3"/>
        <w:widowControl w:val="0"/>
        <w:jc w:val="both"/>
        <w:rPr>
          <w:sz w:val="10"/>
          <w:szCs w:val="10"/>
        </w:rPr>
      </w:pPr>
    </w:p>
    <w:p>
      <w:pPr>
        <w:pStyle w:val="3"/>
        <w:keepNext/>
        <w:jc w:val="both"/>
        <w:rPr>
          <w:color w:val="000000"/>
        </w:rPr>
      </w:pPr>
      <w:bookmarkStart w:id="169" w:name="_14hx32g" w:colFirst="0" w:colLast="0"/>
      <w:bookmarkEnd w:id="169"/>
      <w:r>
        <w:rPr>
          <w:color w:val="000000"/>
        </w:rPr>
        <w:t>Article 48- et dernier : Validité et entrée en vigueur du marché</w:t>
      </w:r>
    </w:p>
    <w:p>
      <w:pPr>
        <w:pStyle w:val="3"/>
        <w:widowControl w:val="0"/>
        <w:jc w:val="both"/>
        <w:rPr>
          <w:b/>
          <w:i/>
          <w:smallCaps/>
        </w:rPr>
      </w:pPr>
      <w:r>
        <w:t>Le présent marché ne deviendra définitif qu’après sa signature par le Maître d’Ouvrage ou Maître d’Ouvrage Délégué. Il entrera en vigueur dès sa notification au cocontractant de l’administration.</w:t>
      </w: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ind w:left="851" w:firstLine="1"/>
        <w:jc w:val="center"/>
        <w:rPr>
          <w:b/>
          <w:smallCaps/>
          <w:color w:val="000000"/>
          <w:sz w:val="36"/>
          <w:szCs w:val="36"/>
        </w:rPr>
      </w:pPr>
      <w:bookmarkStart w:id="170" w:name="_3ohklq9" w:colFirst="0" w:colLast="0"/>
      <w:bookmarkEnd w:id="170"/>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r>
        <w:rPr>
          <w:b/>
          <w:smallCaps/>
          <w:color w:val="000000"/>
          <w:sz w:val="36"/>
          <w:szCs w:val="36"/>
        </w:rPr>
        <w:t>PIECE 5 : CAHIER DES CLAUSES TECHNIQUES PARTICULIÈRES (CCTP)</w:t>
      </w:r>
    </w:p>
    <w:p>
      <w:pPr>
        <w:pStyle w:val="3"/>
        <w:rPr>
          <w:b/>
          <w:i/>
          <w:smallCaps/>
        </w:rPr>
      </w:pPr>
      <w:r>
        <w:br w:type="textWrapping"/>
      </w:r>
    </w:p>
    <w:p>
      <w:pPr>
        <w:pStyle w:val="3"/>
        <w:widowControl w:val="0"/>
        <w:spacing w:after="60" w:line="360" w:lineRule="auto"/>
        <w:jc w:val="both"/>
        <w:rPr>
          <w:b/>
          <w:i/>
          <w:smallCaps/>
        </w:rPr>
      </w:pPr>
      <w:r>
        <w:t xml:space="preserve">. </w:t>
      </w:r>
    </w:p>
    <w:p>
      <w:pPr>
        <w:pStyle w:val="3"/>
        <w:widowControl w:val="0"/>
        <w:spacing w:after="60" w:line="360" w:lineRule="auto"/>
        <w:jc w:val="both"/>
        <w:rPr>
          <w:b/>
          <w:i/>
          <w:smallCaps/>
        </w:rPr>
      </w:pPr>
    </w:p>
    <w:p>
      <w:pPr>
        <w:pStyle w:val="3"/>
        <w:rPr>
          <w:b/>
          <w:i/>
          <w:smallCaps/>
        </w:rPr>
      </w:pPr>
      <w:r>
        <w:br w:type="textWrapping"/>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tabs>
          <w:tab w:val="left" w:pos="1180"/>
        </w:tabs>
        <w:ind w:left="560" w:hanging="560"/>
        <w:jc w:val="center"/>
        <w:rPr>
          <w:rFonts w:ascii="Tw Cen MT" w:hAnsi="Tw Cen MT" w:cs="Segoe UI Semibold"/>
          <w:b/>
        </w:rPr>
      </w:pPr>
      <w:r>
        <w:rPr>
          <w:rFonts w:ascii="Tw Cen MT" w:hAnsi="Tw Cen MT" w:cs="Segoe UI Semibold"/>
          <w:b/>
        </w:rPr>
        <w:t>CHAPITRE 1 : GÉNÉRALITÉS</w:t>
      </w:r>
    </w:p>
    <w:p>
      <w:pPr>
        <w:tabs>
          <w:tab w:val="left" w:pos="1180"/>
        </w:tabs>
        <w:ind w:left="560" w:hanging="560"/>
        <w:jc w:val="center"/>
        <w:rPr>
          <w:rFonts w:ascii="Tw Cen MT" w:hAnsi="Tw Cen MT" w:cs="Segoe UI Semibold"/>
          <w:b/>
        </w:rPr>
      </w:pPr>
    </w:p>
    <w:p>
      <w:pPr>
        <w:tabs>
          <w:tab w:val="left" w:pos="1180"/>
        </w:tabs>
        <w:spacing w:after="120"/>
        <w:ind w:left="561" w:hanging="561"/>
        <w:jc w:val="both"/>
        <w:rPr>
          <w:rFonts w:ascii="Tw Cen MT" w:hAnsi="Tw Cen MT" w:cs="Segoe UI Semibold"/>
          <w:b/>
        </w:rPr>
      </w:pPr>
      <w:r>
        <w:rPr>
          <w:rFonts w:ascii="Tw Cen MT" w:hAnsi="Tw Cen MT" w:cs="Segoe UI Semibold"/>
          <w:b/>
        </w:rPr>
        <w:t>I.1. OBJET DU PRESENT DESCRIPTIF</w:t>
      </w:r>
    </w:p>
    <w:p>
      <w:pPr>
        <w:pStyle w:val="3"/>
        <w:widowControl w:val="0"/>
        <w:spacing w:after="120" w:line="360" w:lineRule="auto"/>
        <w:jc w:val="both"/>
        <w:rPr>
          <w:b/>
          <w:i/>
          <w:sz w:val="20"/>
          <w:szCs w:val="20"/>
        </w:rPr>
      </w:pPr>
      <w:r>
        <w:rPr>
          <w:rFonts w:ascii="Tw Cen MT" w:hAnsi="Tw Cen MT" w:cs="Arial"/>
          <w:bCs/>
          <w:spacing w:val="6"/>
        </w:rPr>
        <w:t xml:space="preserve">Le présent cahier de charges a pour objet définir les règles et les normes techniques à respecter par l’entrepreneur dans le cadre des travaux </w:t>
      </w:r>
      <w:r>
        <w:t>D’ACHEVEMENT DU CSI D’EMINEMVOM 1I DANS LA COMMUNE DE BIWONG BULU, DEPARTEMENT DE LA MVILA, REGION DU SUD</w:t>
      </w:r>
    </w:p>
    <w:p>
      <w:pPr>
        <w:pStyle w:val="3"/>
        <w:widowControl w:val="0"/>
        <w:spacing w:after="120" w:line="360" w:lineRule="auto"/>
        <w:jc w:val="both"/>
        <w:rPr>
          <w:b/>
          <w:i/>
          <w:sz w:val="20"/>
          <w:szCs w:val="20"/>
        </w:rPr>
      </w:pPr>
      <w:r>
        <w:rPr>
          <w:rFonts w:ascii="Tw Cen MT" w:hAnsi="Tw Cen MT" w:cs="Segoe UI Semibold"/>
          <w:b/>
        </w:rPr>
        <w:t xml:space="preserve">I.2. </w:t>
      </w:r>
      <w:r>
        <w:t xml:space="preserve"> </w:t>
      </w:r>
      <w:r>
        <w:rPr>
          <w:b/>
          <w:sz w:val="28"/>
        </w:rPr>
        <w:t>Consistance des travaux</w:t>
      </w:r>
    </w:p>
    <w:p>
      <w:pPr>
        <w:pStyle w:val="3"/>
        <w:widowControl w:val="0"/>
        <w:spacing w:line="360" w:lineRule="auto"/>
        <w:jc w:val="both"/>
      </w:pPr>
      <w:r>
        <w:t xml:space="preserve">Les travaux comprennent notamment : </w:t>
      </w:r>
    </w:p>
    <w:p>
      <w:pPr>
        <w:pStyle w:val="3"/>
        <w:widowControl w:val="0"/>
        <w:numPr>
          <w:ilvl w:val="0"/>
          <w:numId w:val="3"/>
        </w:numPr>
        <w:spacing w:line="360" w:lineRule="auto"/>
        <w:jc w:val="both"/>
        <w:rPr>
          <w:sz w:val="20"/>
          <w:szCs w:val="20"/>
        </w:rPr>
      </w:pPr>
      <w:r>
        <w:t>ETUDES ET TRAVAUX PRELIMINAIRES-TERRASSEMENT ;</w:t>
      </w:r>
    </w:p>
    <w:p>
      <w:pPr>
        <w:pStyle w:val="3"/>
        <w:widowControl w:val="0"/>
        <w:numPr>
          <w:ilvl w:val="0"/>
          <w:numId w:val="3"/>
        </w:numPr>
        <w:spacing w:line="360" w:lineRule="auto"/>
        <w:jc w:val="both"/>
        <w:rPr>
          <w:sz w:val="20"/>
          <w:szCs w:val="20"/>
        </w:rPr>
      </w:pPr>
      <w:r>
        <w:t>FONDATIONS ;</w:t>
      </w:r>
    </w:p>
    <w:p>
      <w:pPr>
        <w:pStyle w:val="3"/>
        <w:widowControl w:val="0"/>
        <w:numPr>
          <w:ilvl w:val="0"/>
          <w:numId w:val="3"/>
        </w:numPr>
        <w:spacing w:line="360" w:lineRule="auto"/>
        <w:jc w:val="both"/>
        <w:rPr>
          <w:sz w:val="20"/>
          <w:szCs w:val="20"/>
        </w:rPr>
      </w:pPr>
      <w:r>
        <w:t>MACONNERIE ;</w:t>
      </w:r>
    </w:p>
    <w:p>
      <w:pPr>
        <w:pStyle w:val="3"/>
        <w:widowControl w:val="0"/>
        <w:numPr>
          <w:ilvl w:val="0"/>
          <w:numId w:val="3"/>
        </w:numPr>
        <w:spacing w:line="360" w:lineRule="auto"/>
        <w:jc w:val="both"/>
        <w:rPr>
          <w:sz w:val="20"/>
          <w:szCs w:val="20"/>
        </w:rPr>
      </w:pPr>
      <w:r>
        <w:t>REVETEMENT DES SCELLES</w:t>
      </w:r>
    </w:p>
    <w:p>
      <w:pPr>
        <w:pStyle w:val="3"/>
        <w:widowControl w:val="0"/>
        <w:numPr>
          <w:ilvl w:val="0"/>
          <w:numId w:val="3"/>
        </w:numPr>
        <w:spacing w:line="360" w:lineRule="auto"/>
        <w:jc w:val="both"/>
        <w:rPr>
          <w:sz w:val="20"/>
          <w:szCs w:val="20"/>
        </w:rPr>
      </w:pPr>
      <w:r>
        <w:t>CHARPENTE ET COUVERTURE ;</w:t>
      </w:r>
    </w:p>
    <w:p>
      <w:pPr>
        <w:pStyle w:val="3"/>
        <w:widowControl w:val="0"/>
        <w:numPr>
          <w:ilvl w:val="0"/>
          <w:numId w:val="3"/>
        </w:numPr>
        <w:spacing w:line="360" w:lineRule="auto"/>
        <w:jc w:val="both"/>
        <w:rPr>
          <w:sz w:val="20"/>
          <w:szCs w:val="20"/>
        </w:rPr>
      </w:pPr>
      <w:r>
        <w:t>MENUISERIE  BOIS ;</w:t>
      </w:r>
    </w:p>
    <w:p>
      <w:pPr>
        <w:pStyle w:val="3"/>
        <w:widowControl w:val="0"/>
        <w:numPr>
          <w:ilvl w:val="0"/>
          <w:numId w:val="3"/>
        </w:numPr>
        <w:spacing w:line="360" w:lineRule="auto"/>
        <w:jc w:val="both"/>
        <w:rPr>
          <w:sz w:val="20"/>
          <w:szCs w:val="20"/>
        </w:rPr>
      </w:pPr>
      <w:r>
        <w:t>ELECTRICITE ;</w:t>
      </w:r>
    </w:p>
    <w:p>
      <w:pPr>
        <w:pStyle w:val="3"/>
        <w:widowControl w:val="0"/>
        <w:numPr>
          <w:ilvl w:val="0"/>
          <w:numId w:val="3"/>
        </w:numPr>
        <w:spacing w:line="360" w:lineRule="auto"/>
        <w:jc w:val="both"/>
        <w:rPr>
          <w:sz w:val="20"/>
          <w:szCs w:val="20"/>
        </w:rPr>
      </w:pPr>
      <w:r>
        <w:t>PLONBERIE SANITAIRE</w:t>
      </w:r>
    </w:p>
    <w:p>
      <w:pPr>
        <w:widowControl w:val="0"/>
        <w:autoSpaceDE w:val="0"/>
        <w:spacing w:before="11"/>
        <w:jc w:val="both"/>
        <w:rPr>
          <w:rFonts w:ascii="Tw Cen MT" w:hAnsi="Tw Cen MT" w:cs="Segoe UI Semibold"/>
          <w:b/>
        </w:rPr>
      </w:pPr>
      <w:r>
        <w:rPr>
          <w:rFonts w:ascii="Tw Cen MT" w:hAnsi="Tw Cen MT" w:cs="Segoe UI Semibold"/>
          <w:b/>
        </w:rPr>
        <w:t>I.3. CONTEXTE DE REALISATION DES TRAVAUX</w:t>
      </w:r>
    </w:p>
    <w:p>
      <w:pPr>
        <w:tabs>
          <w:tab w:val="left" w:pos="1180"/>
        </w:tabs>
        <w:jc w:val="both"/>
        <w:rPr>
          <w:rFonts w:ascii="Tw Cen MT" w:hAnsi="Tw Cen MT" w:cs="Arial"/>
          <w:bCs/>
        </w:rPr>
      </w:pPr>
      <w:r>
        <w:rPr>
          <w:rFonts w:ascii="Tw Cen MT" w:hAnsi="Tw Cen MT" w:cs="Arial"/>
          <w:bCs/>
        </w:rPr>
        <w:t xml:space="preserve">La réalisation des travaux sus évoqués est astreinte au respect des textes législatifs, administratifs et techniques en vigueur en </w:t>
      </w:r>
      <w:r>
        <w:rPr>
          <w:rFonts w:ascii="Tw Cen MT" w:hAnsi="Tw Cen MT" w:cs="Arial"/>
          <w:b/>
          <w:bCs/>
        </w:rPr>
        <w:t>République du Cameroun</w:t>
      </w:r>
      <w:r>
        <w:rPr>
          <w:rFonts w:ascii="Tw Cen MT" w:hAnsi="Tw Cen MT" w:cs="Arial"/>
          <w:bCs/>
        </w:rPr>
        <w:t>, notamment :</w:t>
      </w:r>
    </w:p>
    <w:p>
      <w:pPr>
        <w:pStyle w:val="59"/>
        <w:numPr>
          <w:ilvl w:val="0"/>
          <w:numId w:val="63"/>
        </w:numPr>
        <w:tabs>
          <w:tab w:val="left" w:pos="1180"/>
        </w:tabs>
        <w:suppressAutoHyphens w:val="0"/>
        <w:autoSpaceDN/>
        <w:spacing w:after="200" w:line="276" w:lineRule="auto"/>
        <w:contextualSpacing/>
        <w:jc w:val="both"/>
        <w:textAlignment w:val="auto"/>
        <w:rPr>
          <w:rFonts w:ascii="Tw Cen MT" w:hAnsi="Tw Cen MT" w:cs="Arial"/>
          <w:sz w:val="24"/>
          <w:szCs w:val="24"/>
        </w:rPr>
      </w:pPr>
      <w:r>
        <w:rPr>
          <w:rFonts w:ascii="Tw Cen MT" w:hAnsi="Tw Cen MT" w:cs="Arial"/>
          <w:bCs/>
          <w:sz w:val="24"/>
          <w:szCs w:val="24"/>
        </w:rPr>
        <w:t xml:space="preserve">les spécifications techniques des </w:t>
      </w:r>
      <w:r>
        <w:rPr>
          <w:rFonts w:ascii="Tw Cen MT" w:hAnsi="Tw Cen MT" w:cs="Arial"/>
          <w:b/>
          <w:bCs/>
          <w:sz w:val="24"/>
          <w:szCs w:val="24"/>
        </w:rPr>
        <w:t>D.T.U</w:t>
      </w:r>
      <w:r>
        <w:rPr>
          <w:rFonts w:ascii="Tw Cen MT" w:hAnsi="Tw Cen MT" w:cs="Arial"/>
          <w:bCs/>
          <w:sz w:val="24"/>
          <w:szCs w:val="24"/>
        </w:rPr>
        <w:t xml:space="preserve"> et les prescriptions du </w:t>
      </w:r>
      <w:r>
        <w:rPr>
          <w:rFonts w:ascii="Tw Cen MT" w:hAnsi="Tw Cen MT" w:cs="Arial"/>
          <w:b/>
          <w:bCs/>
          <w:sz w:val="24"/>
          <w:szCs w:val="24"/>
        </w:rPr>
        <w:t>C.S.T.B.</w:t>
      </w:r>
      <w:r>
        <w:rPr>
          <w:rFonts w:ascii="Tw Cen MT" w:hAnsi="Tw Cen MT" w:cs="Arial"/>
          <w:sz w:val="24"/>
          <w:szCs w:val="24"/>
        </w:rPr>
        <w:t> ;</w:t>
      </w:r>
    </w:p>
    <w:p>
      <w:pPr>
        <w:pStyle w:val="59"/>
        <w:numPr>
          <w:ilvl w:val="0"/>
          <w:numId w:val="63"/>
        </w:numPr>
        <w:tabs>
          <w:tab w:val="left" w:pos="1180"/>
        </w:tabs>
        <w:suppressAutoHyphens w:val="0"/>
        <w:autoSpaceDN/>
        <w:spacing w:after="200" w:line="276" w:lineRule="auto"/>
        <w:contextualSpacing/>
        <w:jc w:val="both"/>
        <w:textAlignment w:val="auto"/>
        <w:rPr>
          <w:rFonts w:ascii="Tw Cen MT" w:hAnsi="Tw Cen MT" w:cs="Arial"/>
          <w:sz w:val="24"/>
          <w:szCs w:val="24"/>
        </w:rPr>
      </w:pPr>
      <w:r>
        <w:rPr>
          <w:rFonts w:ascii="Tw Cen MT" w:hAnsi="Tw Cen MT" w:cs="Arial"/>
          <w:sz w:val="24"/>
          <w:szCs w:val="24"/>
        </w:rPr>
        <w:t>Les règles techniques de conception et de calcul des ouvrages en béton armé aux états limites.</w:t>
      </w:r>
    </w:p>
    <w:p>
      <w:pPr>
        <w:spacing w:after="120"/>
        <w:jc w:val="both"/>
        <w:rPr>
          <w:rFonts w:ascii="Tw Cen MT" w:hAnsi="Tw Cen MT" w:cs="Segoe UI Semibold"/>
          <w:b/>
        </w:rPr>
      </w:pPr>
      <w:r>
        <w:rPr>
          <w:rFonts w:ascii="Tw Cen MT" w:hAnsi="Tw Cen MT" w:cs="Segoe UI Semibold"/>
          <w:b/>
        </w:rPr>
        <w:t>I.4. RECONNAISSANCE DES LIEUX ET ACCES AU SITE</w:t>
      </w:r>
    </w:p>
    <w:p>
      <w:pPr>
        <w:spacing w:after="120"/>
        <w:jc w:val="both"/>
        <w:rPr>
          <w:rFonts w:ascii="Tw Cen MT" w:hAnsi="Tw Cen MT" w:cs="Arial"/>
          <w:b/>
        </w:rPr>
      </w:pPr>
      <w:r>
        <w:rPr>
          <w:rFonts w:ascii="Tw Cen MT" w:hAnsi="Tw Cen MT" w:cs="Arial"/>
          <w:bCs/>
        </w:rPr>
        <w:t>L'Entrepreneur doit visiter obligatoirement  le site, pour lui permettre d’apprécier la consistance des  travaux qui lui incombent et la viabilité du site du projet. Par conséquent, une attestation de visite de lieu signée sur l’honneur devra lui être délivrée par le Maire de la Commune, assortie d’un PV de visite des lieux.</w:t>
      </w:r>
    </w:p>
    <w:p>
      <w:pPr>
        <w:tabs>
          <w:tab w:val="left" w:pos="1180"/>
        </w:tabs>
        <w:jc w:val="both"/>
        <w:rPr>
          <w:rFonts w:ascii="Tw Cen MT" w:hAnsi="Tw Cen MT" w:cs="Arial"/>
          <w:bCs/>
        </w:rPr>
      </w:pPr>
      <w:r>
        <w:rPr>
          <w:rFonts w:ascii="Tw Cen MT" w:hAnsi="Tw Cen MT" w:cs="Arial"/>
          <w:bCs/>
        </w:rPr>
        <w:t xml:space="preserve">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pPr>
        <w:tabs>
          <w:tab w:val="left" w:pos="1180"/>
        </w:tabs>
        <w:jc w:val="both"/>
        <w:rPr>
          <w:rFonts w:ascii="Tw Cen MT" w:hAnsi="Tw Cen MT" w:cs="Arial"/>
          <w:sz w:val="2"/>
        </w:rPr>
      </w:pPr>
    </w:p>
    <w:p>
      <w:pPr>
        <w:tabs>
          <w:tab w:val="left" w:pos="1180"/>
        </w:tabs>
        <w:rPr>
          <w:rFonts w:ascii="Tw Cen MT" w:hAnsi="Tw Cen MT" w:cs="Segoe UI Semibold"/>
          <w:b/>
        </w:rPr>
      </w:pPr>
    </w:p>
    <w:p>
      <w:pPr>
        <w:tabs>
          <w:tab w:val="left" w:pos="1180"/>
        </w:tabs>
        <w:rPr>
          <w:rFonts w:ascii="Tw Cen MT" w:hAnsi="Tw Cen MT" w:cs="Segoe UI Semibold"/>
          <w:b/>
        </w:rPr>
      </w:pPr>
    </w:p>
    <w:p>
      <w:pPr>
        <w:tabs>
          <w:tab w:val="left" w:pos="1180"/>
        </w:tabs>
        <w:jc w:val="center"/>
        <w:rPr>
          <w:rFonts w:ascii="Tw Cen MT" w:hAnsi="Tw Cen MT" w:cs="Segoe UI Semibold"/>
          <w:b/>
        </w:rPr>
      </w:pPr>
      <w:r>
        <w:rPr>
          <w:rFonts w:ascii="Tw Cen MT" w:hAnsi="Tw Cen MT" w:cs="Segoe UI Semibold"/>
          <w:b/>
        </w:rPr>
        <w:t>CHAPITRE 2 : METHODOLOGIE D’EXECUTION DES TRAVAUX</w:t>
      </w:r>
    </w:p>
    <w:p>
      <w:pPr>
        <w:tabs>
          <w:tab w:val="left" w:pos="1180"/>
        </w:tabs>
        <w:rPr>
          <w:rFonts w:ascii="Tw Cen MT" w:hAnsi="Tw Cen MT" w:cs="Segoe UI Semibold"/>
          <w:b/>
        </w:rPr>
      </w:pPr>
      <w:r>
        <w:rPr>
          <w:rFonts w:ascii="Tw Cen MT" w:hAnsi="Tw Cen MT" w:cs="Segoe UI Semibold"/>
          <w:b/>
        </w:rPr>
        <w:t xml:space="preserve">II.1. </w:t>
      </w:r>
      <w:r>
        <w:rPr>
          <w:rFonts w:ascii="Tw Cen MT" w:hAnsi="Tw Cen MT" w:cs="Segoe UI"/>
          <w:b/>
          <w:bCs/>
          <w:color w:val="000000"/>
        </w:rPr>
        <w:t>TRAVAUX PREPARATOIRES</w:t>
      </w:r>
    </w:p>
    <w:p>
      <w:pPr>
        <w:tabs>
          <w:tab w:val="left" w:pos="1180"/>
        </w:tabs>
        <w:rPr>
          <w:rFonts w:ascii="Tw Cen MT" w:hAnsi="Tw Cen MT" w:cs="Arial"/>
          <w:b/>
        </w:rPr>
      </w:pPr>
      <w:r>
        <w:rPr>
          <w:rFonts w:ascii="Tw Cen MT" w:hAnsi="Tw Cen MT" w:cs="Arial"/>
          <w:bCs/>
        </w:rPr>
        <w:t>La mobilisation de chantier sera à la charge de l’entreprise adjudicataire du marché.</w:t>
      </w:r>
      <w:r>
        <w:rPr>
          <w:rFonts w:ascii="Tw Cen MT" w:hAnsi="Tw Cen MT" w:cs="Arial"/>
          <w:b/>
        </w:rPr>
        <w:t xml:space="preserve"> </w:t>
      </w:r>
      <w:r>
        <w:rPr>
          <w:rFonts w:ascii="Tw Cen MT" w:hAnsi="Tw Cen MT" w:cs="Arial"/>
          <w:bCs/>
        </w:rPr>
        <w:t>Cette prestation du chantier comprend :</w:t>
      </w:r>
    </w:p>
    <w:p>
      <w:pPr>
        <w:pStyle w:val="59"/>
        <w:keepNext/>
        <w:numPr>
          <w:ilvl w:val="0"/>
          <w:numId w:val="64"/>
        </w:numPr>
        <w:suppressAutoHyphens w:val="0"/>
        <w:autoSpaceDN/>
        <w:spacing w:before="120" w:after="120" w:line="276" w:lineRule="auto"/>
        <w:contextualSpacing/>
        <w:jc w:val="both"/>
        <w:textAlignment w:val="auto"/>
        <w:outlineLvl w:val="2"/>
        <w:rPr>
          <w:rFonts w:ascii="Tw Cen MT" w:hAnsi="Tw Cen MT" w:cs="Arial"/>
          <w:bCs/>
          <w:sz w:val="24"/>
          <w:szCs w:val="24"/>
        </w:rPr>
      </w:pPr>
      <w:r>
        <w:rPr>
          <w:rFonts w:ascii="Tw Cen MT" w:hAnsi="Tw Cen MT" w:cs="Arial"/>
          <w:bCs/>
          <w:sz w:val="24"/>
          <w:szCs w:val="24"/>
        </w:rPr>
        <w:t>L’installation de chantier et la préparation du site ;</w:t>
      </w:r>
    </w:p>
    <w:p>
      <w:pPr>
        <w:pStyle w:val="59"/>
        <w:keepNext/>
        <w:numPr>
          <w:ilvl w:val="0"/>
          <w:numId w:val="64"/>
        </w:numPr>
        <w:suppressAutoHyphens w:val="0"/>
        <w:autoSpaceDN/>
        <w:spacing w:before="120" w:after="120" w:line="276" w:lineRule="auto"/>
        <w:contextualSpacing/>
        <w:jc w:val="both"/>
        <w:textAlignment w:val="auto"/>
        <w:outlineLvl w:val="2"/>
        <w:rPr>
          <w:rFonts w:ascii="Tw Cen MT" w:hAnsi="Tw Cen MT" w:cs="Arial"/>
          <w:bCs/>
          <w:sz w:val="24"/>
          <w:szCs w:val="24"/>
        </w:rPr>
      </w:pPr>
      <w:r>
        <w:rPr>
          <w:rFonts w:ascii="Tw Cen MT" w:hAnsi="Tw Cen MT" w:cs="Arial"/>
          <w:bCs/>
          <w:sz w:val="24"/>
          <w:szCs w:val="24"/>
        </w:rPr>
        <w:t>Les études d’exécution ;</w:t>
      </w:r>
    </w:p>
    <w:p>
      <w:pPr>
        <w:pStyle w:val="59"/>
        <w:keepNext/>
        <w:numPr>
          <w:ilvl w:val="0"/>
          <w:numId w:val="64"/>
        </w:numPr>
        <w:suppressAutoHyphens w:val="0"/>
        <w:autoSpaceDN/>
        <w:spacing w:before="120" w:after="120" w:line="276" w:lineRule="auto"/>
        <w:contextualSpacing/>
        <w:jc w:val="both"/>
        <w:textAlignment w:val="auto"/>
        <w:outlineLvl w:val="2"/>
        <w:rPr>
          <w:rFonts w:ascii="Tw Cen MT" w:hAnsi="Tw Cen MT" w:cs="Arial"/>
          <w:bCs/>
          <w:sz w:val="24"/>
          <w:szCs w:val="24"/>
        </w:rPr>
      </w:pPr>
      <w:r>
        <w:rPr>
          <w:rFonts w:ascii="Tw Cen MT" w:hAnsi="Tw Cen MT" w:cs="Arial"/>
          <w:sz w:val="24"/>
          <w:szCs w:val="24"/>
        </w:rPr>
        <w:t>L’élaboration et la production du Projet d’Exécution, d’un Plan d’Assurance Qualité et de Gestion Environnementale ;</w:t>
      </w:r>
    </w:p>
    <w:p>
      <w:pPr>
        <w:pStyle w:val="59"/>
        <w:keepNext/>
        <w:numPr>
          <w:ilvl w:val="0"/>
          <w:numId w:val="64"/>
        </w:numPr>
        <w:suppressAutoHyphens w:val="0"/>
        <w:autoSpaceDN/>
        <w:spacing w:before="120" w:after="120" w:line="276" w:lineRule="auto"/>
        <w:contextualSpacing/>
        <w:jc w:val="both"/>
        <w:textAlignment w:val="auto"/>
        <w:outlineLvl w:val="2"/>
        <w:rPr>
          <w:rFonts w:ascii="Tw Cen MT" w:hAnsi="Tw Cen MT" w:cs="Arial"/>
          <w:bCs/>
          <w:sz w:val="24"/>
          <w:szCs w:val="24"/>
        </w:rPr>
      </w:pPr>
      <w:r>
        <w:rPr>
          <w:rFonts w:ascii="Tw Cen MT" w:hAnsi="Tw Cen MT" w:cs="Arial"/>
          <w:sz w:val="24"/>
          <w:szCs w:val="24"/>
        </w:rPr>
        <w:t>La production du dossier de recollement ;</w:t>
      </w:r>
    </w:p>
    <w:p>
      <w:pPr>
        <w:pStyle w:val="59"/>
        <w:keepNext/>
        <w:numPr>
          <w:ilvl w:val="0"/>
          <w:numId w:val="64"/>
        </w:numPr>
        <w:suppressAutoHyphens w:val="0"/>
        <w:autoSpaceDN/>
        <w:spacing w:before="120" w:after="120" w:line="276" w:lineRule="auto"/>
        <w:contextualSpacing/>
        <w:jc w:val="both"/>
        <w:textAlignment w:val="auto"/>
        <w:outlineLvl w:val="2"/>
        <w:rPr>
          <w:rFonts w:ascii="Tw Cen MT" w:hAnsi="Tw Cen MT" w:cs="Arial"/>
          <w:bCs/>
          <w:sz w:val="24"/>
          <w:szCs w:val="24"/>
        </w:rPr>
      </w:pPr>
      <w:r>
        <w:rPr>
          <w:rFonts w:ascii="Tw Cen MT" w:hAnsi="Tw Cen MT" w:cs="Arial"/>
          <w:bCs/>
          <w:sz w:val="24"/>
          <w:szCs w:val="24"/>
        </w:rPr>
        <w:t>L’installation du panneau de chantier.</w:t>
      </w:r>
    </w:p>
    <w:p>
      <w:pPr>
        <w:keepNext/>
        <w:spacing w:before="120" w:after="120"/>
        <w:jc w:val="both"/>
        <w:outlineLvl w:val="2"/>
        <w:rPr>
          <w:rFonts w:ascii="Tw Cen MT" w:hAnsi="Tw Cen MT" w:cs="Arial"/>
          <w:b/>
          <w:bCs/>
        </w:rPr>
      </w:pPr>
      <w:r>
        <w:rPr>
          <w:rFonts w:ascii="Tw Cen MT" w:hAnsi="Tw Cen MT" w:cs="Arial"/>
          <w:b/>
          <w:bCs/>
        </w:rPr>
        <w:t>II.1.1. Installation du chantier</w:t>
      </w:r>
    </w:p>
    <w:p>
      <w:pPr>
        <w:pStyle w:val="11"/>
        <w:tabs>
          <w:tab w:val="left" w:pos="0"/>
        </w:tabs>
        <w:spacing w:line="276" w:lineRule="auto"/>
        <w:rPr>
          <w:rFonts w:ascii="Tw Cen MT" w:hAnsi="Tw Cen MT" w:cs="Arial"/>
          <w:bCs/>
          <w:sz w:val="24"/>
          <w:szCs w:val="24"/>
        </w:rPr>
      </w:pPr>
      <w:bookmarkStart w:id="171" w:name="_Hlt463690020"/>
      <w:bookmarkEnd w:id="171"/>
      <w:bookmarkStart w:id="172" w:name="_Toc463358389"/>
      <w:bookmarkStart w:id="173" w:name="_Toc468941957"/>
      <w:r>
        <w:rPr>
          <w:rFonts w:ascii="Tw Cen MT" w:hAnsi="Tw Cen MT" w:cs="Arial"/>
          <w:bCs/>
          <w:sz w:val="24"/>
          <w:szCs w:val="24"/>
        </w:rPr>
        <w:t>Les travaux d’installation de chantier seront à la charge de l’entrepreneur. Ils comprendront notamment :</w:t>
      </w:r>
    </w:p>
    <w:p>
      <w:pPr>
        <w:pStyle w:val="11"/>
        <w:numPr>
          <w:ilvl w:val="0"/>
          <w:numId w:val="6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L’aménagement et l’entretien d’un bureau de chantier ;</w:t>
      </w:r>
    </w:p>
    <w:p>
      <w:pPr>
        <w:pStyle w:val="11"/>
        <w:numPr>
          <w:ilvl w:val="0"/>
          <w:numId w:val="6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L’aménagement et l’entretien du magasin et des aires de stockage de matériaux ;</w:t>
      </w:r>
    </w:p>
    <w:p>
      <w:pPr>
        <w:pStyle w:val="11"/>
        <w:numPr>
          <w:ilvl w:val="0"/>
          <w:numId w:val="6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Le déploiement du personnel affecté au chantier sur le site ;</w:t>
      </w:r>
    </w:p>
    <w:p>
      <w:pPr>
        <w:pStyle w:val="11"/>
        <w:numPr>
          <w:ilvl w:val="0"/>
          <w:numId w:val="6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Les raccordements provisoires au réseau d’électricité et d’eau ;</w:t>
      </w:r>
    </w:p>
    <w:p>
      <w:pPr>
        <w:pStyle w:val="11"/>
        <w:numPr>
          <w:ilvl w:val="0"/>
          <w:numId w:val="6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Le nettoyage et le gardiennage du chantier ;</w:t>
      </w:r>
    </w:p>
    <w:p>
      <w:pPr>
        <w:pStyle w:val="11"/>
        <w:numPr>
          <w:ilvl w:val="0"/>
          <w:numId w:val="6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 ;</w:t>
      </w:r>
    </w:p>
    <w:p>
      <w:pPr>
        <w:pStyle w:val="11"/>
        <w:numPr>
          <w:ilvl w:val="0"/>
          <w:numId w:val="66"/>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L’installation des réceptacles destinés à la collecte des déchets qui seront disposés à proximité de la zone de travaux. Ces réceptacles seront vidés périodiquement soit dans les bacs à ordures pour les déchets communs ou soit dans une fosse pour les déchets organiques biodégradables. La fosse doit être située à au moins 20m du chantier. A la fin des travaux, la fosse sera comblée avec de la terre jusqu’au niveau du sol naturel. Les déchets toxiques ou dangereux feront l’objet d’un traitement particulier.</w:t>
      </w:r>
    </w:p>
    <w:p>
      <w:pPr>
        <w:pStyle w:val="11"/>
        <w:numPr>
          <w:ilvl w:val="0"/>
          <w:numId w:val="66"/>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 xml:space="preserve">L’élaboration des plans d’exécution et de détails aux échelles convenables (plans de masse, d’implantation, de fondation, de distribution, de coupes, de toitures, d’électricité) ; </w:t>
      </w:r>
    </w:p>
    <w:p>
      <w:pPr>
        <w:pStyle w:val="11"/>
        <w:numPr>
          <w:ilvl w:val="0"/>
          <w:numId w:val="66"/>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L’établissement du planning des travaux.</w:t>
      </w:r>
    </w:p>
    <w:p>
      <w:pPr>
        <w:pStyle w:val="11"/>
        <w:numPr>
          <w:ilvl w:val="0"/>
          <w:numId w:val="66"/>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L’amenée et le repli du matériel et du personnel de l’entreprise ;</w:t>
      </w:r>
    </w:p>
    <w:p>
      <w:pPr>
        <w:pStyle w:val="11"/>
        <w:numPr>
          <w:ilvl w:val="0"/>
          <w:numId w:val="66"/>
        </w:numPr>
        <w:tabs>
          <w:tab w:val="left" w:pos="0"/>
        </w:tabs>
        <w:suppressAutoHyphens/>
        <w:spacing w:line="276" w:lineRule="auto"/>
        <w:ind w:left="714" w:hanging="357"/>
        <w:jc w:val="both"/>
        <w:rPr>
          <w:rFonts w:ascii="Tw Cen MT" w:hAnsi="Tw Cen MT" w:cs="Arial"/>
          <w:bCs/>
          <w:sz w:val="24"/>
          <w:szCs w:val="24"/>
        </w:rPr>
      </w:pPr>
      <w:r>
        <w:rPr>
          <w:rFonts w:ascii="Tw Cen MT" w:hAnsi="Tw Cen MT" w:cs="Arial"/>
          <w:bCs/>
          <w:sz w:val="24"/>
          <w:szCs w:val="24"/>
        </w:rPr>
        <w:t>Le nettoyage général du site et des environs après les travaux.</w:t>
      </w:r>
    </w:p>
    <w:p>
      <w:pPr>
        <w:pStyle w:val="11"/>
        <w:tabs>
          <w:tab w:val="left" w:pos="0"/>
        </w:tabs>
        <w:spacing w:line="276" w:lineRule="auto"/>
        <w:rPr>
          <w:rFonts w:ascii="Tw Cen MT" w:hAnsi="Tw Cen MT" w:cs="Arial"/>
          <w:bCs/>
          <w:sz w:val="24"/>
          <w:szCs w:val="24"/>
        </w:rPr>
      </w:pPr>
      <w:r>
        <w:rPr>
          <w:rFonts w:ascii="Tw Cen MT" w:hAnsi="Tw Cen MT" w:cs="Arial"/>
          <w:b/>
          <w:bCs/>
          <w:sz w:val="24"/>
          <w:szCs w:val="24"/>
          <w:u w:val="single"/>
        </w:rPr>
        <w:t>Note importante</w:t>
      </w:r>
      <w:r>
        <w:rPr>
          <w:rFonts w:ascii="Tw Cen MT" w:hAnsi="Tw Cen MT" w:cs="Arial"/>
          <w:b/>
          <w:bCs/>
          <w:sz w:val="24"/>
          <w:szCs w:val="24"/>
        </w:rPr>
        <w:t> :</w:t>
      </w:r>
      <w:r>
        <w:rPr>
          <w:rFonts w:ascii="Tw Cen MT" w:hAnsi="Tw Cen MT" w:cs="Arial"/>
          <w:bCs/>
          <w:sz w:val="24"/>
          <w:szCs w:val="24"/>
        </w:rPr>
        <w:t xml:space="preserve"> Avant l’installation du chantier, le chef de service du marché, 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L’entrepreneur fera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pPr>
        <w:pStyle w:val="11"/>
        <w:tabs>
          <w:tab w:val="left" w:pos="0"/>
        </w:tabs>
        <w:spacing w:line="276" w:lineRule="auto"/>
        <w:rPr>
          <w:rFonts w:ascii="Tw Cen MT" w:hAnsi="Tw Cen MT" w:cs="Arial"/>
          <w:b/>
          <w:bCs/>
          <w:sz w:val="24"/>
          <w:szCs w:val="24"/>
        </w:rPr>
      </w:pPr>
      <w:r>
        <w:rPr>
          <w:rFonts w:ascii="Tw Cen MT" w:hAnsi="Tw Cen MT" w:cs="Arial"/>
          <w:b/>
          <w:bCs/>
          <w:sz w:val="24"/>
          <w:szCs w:val="24"/>
        </w:rPr>
        <w:t>II.1.2. Le projet d’exécution</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L’entreprise devra produire un projet d’exécution sur la base des études et essais réalisés et de son expérience, qu’elle devra soumettre à l’</w:t>
      </w:r>
      <w:r>
        <w:rPr>
          <w:rFonts w:ascii="Tw Cen MT" w:hAnsi="Tw Cen MT" w:cs="Arial"/>
          <w:b/>
          <w:bCs/>
          <w:sz w:val="24"/>
          <w:szCs w:val="24"/>
        </w:rPr>
        <w:t xml:space="preserve">ingénieur du marché </w:t>
      </w:r>
      <w:r>
        <w:rPr>
          <w:rFonts w:ascii="Tw Cen MT" w:hAnsi="Tw Cen MT" w:cs="Arial"/>
          <w:bCs/>
          <w:sz w:val="24"/>
          <w:szCs w:val="24"/>
        </w:rPr>
        <w:t>pour approbation avant l’exécution des travaux. L’entrepreneur fournira également un plan d’assurance qualité et un plan de gestion environnemental.</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Le délai d’approbation de ce projet d’exécution est de </w:t>
      </w:r>
      <w:r>
        <w:rPr>
          <w:rFonts w:ascii="Tw Cen MT" w:hAnsi="Tw Cen MT" w:cs="Arial"/>
          <w:b/>
          <w:bCs/>
          <w:sz w:val="24"/>
          <w:szCs w:val="24"/>
        </w:rPr>
        <w:t>15</w:t>
      </w:r>
      <w:r>
        <w:rPr>
          <w:rFonts w:ascii="Tw Cen MT" w:hAnsi="Tw Cen MT" w:cs="Arial"/>
          <w:bCs/>
          <w:sz w:val="24"/>
          <w:szCs w:val="24"/>
        </w:rPr>
        <w:t xml:space="preserve"> jours après la notification de l’ordre de service de démarrage des travaux. Le Cocontractant devra prendre toutes les dispositions pour respecter les délais.</w:t>
      </w:r>
    </w:p>
    <w:p>
      <w:pPr>
        <w:pStyle w:val="11"/>
        <w:tabs>
          <w:tab w:val="left" w:pos="0"/>
        </w:tabs>
        <w:spacing w:line="276" w:lineRule="auto"/>
        <w:rPr>
          <w:rFonts w:ascii="Tw Cen MT" w:hAnsi="Tw Cen MT" w:cs="Arial"/>
          <w:b/>
          <w:bCs/>
          <w:sz w:val="24"/>
          <w:szCs w:val="24"/>
        </w:rPr>
      </w:pPr>
      <w:r>
        <w:rPr>
          <w:rFonts w:ascii="Tw Cen MT" w:hAnsi="Tw Cen MT" w:cs="Arial"/>
          <w:b/>
          <w:bCs/>
          <w:sz w:val="24"/>
          <w:szCs w:val="24"/>
        </w:rPr>
        <w:t>II.1.3. Le dossier de recollement</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A la fin des travaux, l’entreprise produira un dossier de recollement (plans de masse et de distribution, plan en coupe des façades,...) en quatre exemplaires dont il remettra deux (</w:t>
      </w:r>
      <w:r>
        <w:rPr>
          <w:rFonts w:ascii="Tw Cen MT" w:hAnsi="Tw Cen MT" w:cs="Arial"/>
          <w:b/>
          <w:bCs/>
          <w:sz w:val="24"/>
          <w:szCs w:val="24"/>
        </w:rPr>
        <w:t>02</w:t>
      </w:r>
      <w:r>
        <w:rPr>
          <w:rFonts w:ascii="Tw Cen MT" w:hAnsi="Tw Cen MT" w:cs="Arial"/>
          <w:bCs/>
          <w:sz w:val="24"/>
          <w:szCs w:val="24"/>
        </w:rPr>
        <w:t>) copies au Chef de service du marché et deux (</w:t>
      </w:r>
      <w:r>
        <w:rPr>
          <w:rFonts w:ascii="Tw Cen MT" w:hAnsi="Tw Cen MT" w:cs="Arial"/>
          <w:b/>
          <w:bCs/>
          <w:sz w:val="24"/>
          <w:szCs w:val="24"/>
        </w:rPr>
        <w:t>02</w:t>
      </w:r>
      <w:r>
        <w:rPr>
          <w:rFonts w:ascii="Tw Cen MT" w:hAnsi="Tw Cen MT" w:cs="Arial"/>
          <w:bCs/>
          <w:sz w:val="24"/>
          <w:szCs w:val="24"/>
        </w:rPr>
        <w:t xml:space="preserve">) copies à l’ingénieur. Les plans seront élaborés et produits en version physique et en version numérique (sous le format </w:t>
      </w:r>
      <w:r>
        <w:rPr>
          <w:rFonts w:ascii="Tw Cen MT" w:hAnsi="Tw Cen MT" w:cs="Arial"/>
          <w:b/>
          <w:bCs/>
          <w:sz w:val="24"/>
          <w:szCs w:val="24"/>
        </w:rPr>
        <w:t>DWG</w:t>
      </w:r>
      <w:r>
        <w:rPr>
          <w:rFonts w:ascii="Tw Cen MT" w:hAnsi="Tw Cen MT" w:cs="Arial"/>
          <w:bCs/>
          <w:sz w:val="24"/>
          <w:szCs w:val="24"/>
        </w:rPr>
        <w:t xml:space="preserve"> et/ou </w:t>
      </w:r>
      <w:r>
        <w:rPr>
          <w:rFonts w:ascii="Tw Cen MT" w:hAnsi="Tw Cen MT" w:cs="Arial"/>
          <w:b/>
          <w:bCs/>
          <w:sz w:val="24"/>
          <w:szCs w:val="24"/>
        </w:rPr>
        <w:t>PDF</w:t>
      </w:r>
      <w:r>
        <w:rPr>
          <w:rFonts w:ascii="Tw Cen MT" w:hAnsi="Tw Cen MT" w:cs="Arial"/>
          <w:bCs/>
          <w:sz w:val="24"/>
          <w:szCs w:val="24"/>
        </w:rPr>
        <w:t>).</w:t>
      </w:r>
    </w:p>
    <w:p>
      <w:pPr>
        <w:pStyle w:val="11"/>
        <w:tabs>
          <w:tab w:val="left" w:pos="0"/>
        </w:tabs>
        <w:spacing w:line="276" w:lineRule="auto"/>
        <w:rPr>
          <w:rFonts w:ascii="Tw Cen MT" w:hAnsi="Tw Cen MT" w:cs="Arial"/>
          <w:b/>
          <w:bCs/>
          <w:sz w:val="24"/>
          <w:szCs w:val="24"/>
          <w:u w:val="single"/>
        </w:rPr>
      </w:pPr>
      <w:r>
        <w:rPr>
          <w:rFonts w:ascii="Tw Cen MT" w:hAnsi="Tw Cen MT" w:cs="Arial"/>
          <w:b/>
          <w:bCs/>
          <w:sz w:val="24"/>
          <w:szCs w:val="24"/>
        </w:rPr>
        <w:t>II.1.4. Le panneau de chantier</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Un panneau de chantier en bois bien visible sera installé à l’entrée du site du chantier. Il portera les informations suivantes:</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lang w:val="en-US"/>
        </w:rPr>
      </w:pPr>
      <w:r>
        <w:rPr>
          <w:rFonts w:ascii="Tw Cen MT" w:hAnsi="Tw Cen MT" w:cs="Arial"/>
          <w:bCs/>
          <w:sz w:val="24"/>
          <w:szCs w:val="24"/>
        </w:rPr>
        <w:t>Les références du projet ;</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Les références du Maître d’Ouvrage;</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Les références de l’Autorité Contractante;</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Les références du Chef Service du Marché;</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Les références de l’Ingénieur du Marché ;</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La source de financement;</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Le raison sociale de l’entreprise ou du groupement d’entreprises adjudicataire ;</w:t>
      </w:r>
    </w:p>
    <w:p>
      <w:pPr>
        <w:pStyle w:val="11"/>
        <w:numPr>
          <w:ilvl w:val="0"/>
          <w:numId w:val="67"/>
        </w:numPr>
        <w:tabs>
          <w:tab w:val="left" w:pos="0"/>
          <w:tab w:val="left" w:pos="851"/>
          <w:tab w:val="clear" w:pos="360"/>
        </w:tabs>
        <w:suppressAutoHyphens/>
        <w:spacing w:after="0" w:line="276" w:lineRule="auto"/>
        <w:ind w:firstLine="207"/>
        <w:jc w:val="both"/>
        <w:rPr>
          <w:rFonts w:ascii="Tw Cen MT" w:hAnsi="Tw Cen MT" w:cs="Arial"/>
          <w:bCs/>
          <w:sz w:val="24"/>
          <w:szCs w:val="24"/>
        </w:rPr>
      </w:pPr>
      <w:r>
        <w:rPr>
          <w:rFonts w:ascii="Tw Cen MT" w:hAnsi="Tw Cen MT" w:cs="Arial"/>
          <w:bCs/>
          <w:sz w:val="24"/>
          <w:szCs w:val="24"/>
        </w:rPr>
        <w:t>La durée des travaux, la date d’ouverture et de fin de chantier.</w:t>
      </w:r>
    </w:p>
    <w:p>
      <w:pPr>
        <w:numPr>
          <w:ilvl w:val="3"/>
          <w:numId w:val="0"/>
        </w:numPr>
        <w:tabs>
          <w:tab w:val="left" w:pos="1512"/>
        </w:tabs>
        <w:overflowPunct w:val="0"/>
        <w:autoSpaceDE w:val="0"/>
        <w:adjustRightInd w:val="0"/>
        <w:spacing w:before="120" w:after="240"/>
        <w:jc w:val="both"/>
        <w:outlineLvl w:val="3"/>
        <w:rPr>
          <w:rFonts w:ascii="Tw Cen MT" w:hAnsi="Tw Cen MT" w:cs="Arial"/>
          <w:bCs/>
        </w:rPr>
      </w:pPr>
      <w:r>
        <w:rPr>
          <w:rFonts w:ascii="Tw Cen MT" w:hAnsi="Tw Cen MT" w:cs="Arial"/>
          <w:bCs/>
        </w:rPr>
        <w:t>Aucun autre panneau ne sera autorisé sur le site des travaux, sauf autorisation écrite du Maître d’ouvrage délégué, exception faite des panneaux réglementaires interdisant l’accès au chantier et ceux relatifs à la sécurité.</w:t>
      </w:r>
      <w:bookmarkEnd w:id="172"/>
      <w:bookmarkEnd w:id="173"/>
    </w:p>
    <w:p>
      <w:pPr>
        <w:numPr>
          <w:ilvl w:val="3"/>
          <w:numId w:val="0"/>
        </w:numPr>
        <w:tabs>
          <w:tab w:val="left" w:pos="1512"/>
        </w:tabs>
        <w:overflowPunct w:val="0"/>
        <w:autoSpaceDE w:val="0"/>
        <w:adjustRightInd w:val="0"/>
        <w:spacing w:before="120" w:after="240"/>
        <w:jc w:val="both"/>
        <w:outlineLvl w:val="3"/>
        <w:rPr>
          <w:rFonts w:ascii="Tw Cen MT" w:hAnsi="Tw Cen MT" w:cs="Arial"/>
          <w:b/>
          <w:bCs/>
        </w:rPr>
      </w:pPr>
      <w:r>
        <w:rPr>
          <w:rFonts w:ascii="Tw Cen MT" w:hAnsi="Tw Cen MT" w:cs="Arial"/>
          <w:b/>
          <w:bCs/>
        </w:rPr>
        <w:t>II.2. TERRASSEMENT</w:t>
      </w:r>
    </w:p>
    <w:p>
      <w:pPr>
        <w:numPr>
          <w:ilvl w:val="3"/>
          <w:numId w:val="0"/>
        </w:numPr>
        <w:tabs>
          <w:tab w:val="left" w:pos="1512"/>
        </w:tabs>
        <w:overflowPunct w:val="0"/>
        <w:autoSpaceDE w:val="0"/>
        <w:adjustRightInd w:val="0"/>
        <w:spacing w:before="120" w:after="240"/>
        <w:jc w:val="both"/>
        <w:outlineLvl w:val="3"/>
        <w:rPr>
          <w:rFonts w:ascii="Tw Cen MT" w:hAnsi="Tw Cen MT" w:cs="Arial"/>
          <w:bCs/>
        </w:rPr>
      </w:pPr>
      <w:r>
        <w:rPr>
          <w:rFonts w:ascii="Tw Cen MT" w:hAnsi="Tw Cen MT" w:cs="Arial"/>
          <w:bCs/>
        </w:rPr>
        <w:t>Les travaux de terrassement seront effectués sur le site de construction afin de le rendre le plus plat possible pour une meilleure exécution de l’ouvrage.</w:t>
      </w:r>
    </w:p>
    <w:p>
      <w:pPr>
        <w:numPr>
          <w:ilvl w:val="2"/>
          <w:numId w:val="68"/>
        </w:numPr>
        <w:tabs>
          <w:tab w:val="left" w:pos="1985"/>
        </w:tabs>
        <w:overflowPunct w:val="0"/>
        <w:autoSpaceDE w:val="0"/>
        <w:autoSpaceDN w:val="0"/>
        <w:adjustRightInd w:val="0"/>
        <w:spacing w:line="360" w:lineRule="auto"/>
        <w:ind w:left="1276" w:right="592" w:hanging="425"/>
        <w:jc w:val="both"/>
        <w:textAlignment w:val="baseline"/>
        <w:rPr>
          <w:rFonts w:ascii="Tw Cen MT" w:hAnsi="Tw Cen MT" w:cs="Arial"/>
          <w:szCs w:val="26"/>
        </w:rPr>
      </w:pPr>
      <w:r>
        <w:rPr>
          <w:rFonts w:ascii="Tw Cen MT" w:hAnsi="Tw Cen MT" w:cs="Arial"/>
          <w:b/>
          <w:szCs w:val="26"/>
        </w:rPr>
        <w:t>Procédure de contrôle à mettre en œuvre</w:t>
      </w:r>
    </w:p>
    <w:p>
      <w:pPr>
        <w:tabs>
          <w:tab w:val="left" w:pos="1985"/>
        </w:tabs>
        <w:overflowPunct w:val="0"/>
        <w:autoSpaceDE w:val="0"/>
        <w:autoSpaceDN w:val="0"/>
        <w:adjustRightInd w:val="0"/>
        <w:spacing w:line="360" w:lineRule="auto"/>
        <w:ind w:left="1276" w:right="592"/>
        <w:jc w:val="both"/>
        <w:textAlignment w:val="baseline"/>
        <w:rPr>
          <w:rFonts w:ascii="Tw Cen MT" w:hAnsi="Tw Cen MT" w:cs="Arial"/>
          <w:b/>
          <w:szCs w:val="26"/>
        </w:rPr>
      </w:pPr>
      <w:bookmarkStart w:id="174" w:name="_Toc85440642"/>
      <w:r>
        <w:rPr>
          <w:rFonts w:ascii="Tw Cen MT" w:hAnsi="Tw Cen MT" w:cs="Arial"/>
          <w:b/>
          <w:szCs w:val="26"/>
        </w:rPr>
        <w:t xml:space="preserve">  Contrôle </w:t>
      </w:r>
      <w:bookmarkEnd w:id="174"/>
      <w:r>
        <w:rPr>
          <w:rFonts w:ascii="Tw Cen MT" w:hAnsi="Tw Cen MT" w:cs="Arial"/>
          <w:b/>
          <w:szCs w:val="26"/>
        </w:rPr>
        <w:t>préalable</w:t>
      </w:r>
    </w:p>
    <w:p>
      <w:pPr>
        <w:pStyle w:val="13"/>
        <w:spacing w:line="276" w:lineRule="auto"/>
        <w:ind w:right="592" w:firstLine="360"/>
        <w:jc w:val="both"/>
        <w:rPr>
          <w:rFonts w:ascii="Tw Cen MT" w:hAnsi="Tw Cen MT"/>
          <w:szCs w:val="26"/>
        </w:rPr>
      </w:pPr>
      <w:r>
        <w:rPr>
          <w:rFonts w:ascii="Tw Cen MT" w:hAnsi="Tw Cen MT"/>
          <w:szCs w:val="26"/>
        </w:rPr>
        <w:t xml:space="preserve">Il concerne, selon le choix stratégique opéré, 60% de la masse totale des opérations de contrôle. </w:t>
      </w:r>
    </w:p>
    <w:p>
      <w:pPr>
        <w:pStyle w:val="13"/>
        <w:numPr>
          <w:ilvl w:val="0"/>
          <w:numId w:val="69"/>
        </w:numPr>
        <w:overflowPunct w:val="0"/>
        <w:autoSpaceDE w:val="0"/>
        <w:autoSpaceDN w:val="0"/>
        <w:adjustRightInd w:val="0"/>
        <w:spacing w:after="0" w:line="276" w:lineRule="auto"/>
        <w:ind w:right="592"/>
        <w:jc w:val="both"/>
        <w:textAlignment w:val="baseline"/>
        <w:rPr>
          <w:rFonts w:ascii="Tw Cen MT" w:hAnsi="Tw Cen MT"/>
          <w:szCs w:val="26"/>
        </w:rPr>
      </w:pPr>
      <w:r>
        <w:rPr>
          <w:rFonts w:ascii="Tw Cen MT" w:hAnsi="Tw Cen MT"/>
          <w:szCs w:val="26"/>
        </w:rPr>
        <w:t>Pour les travaux de génie civil, le contrôle préalable comprend en général:</w:t>
      </w:r>
    </w:p>
    <w:p>
      <w:pPr>
        <w:pStyle w:val="13"/>
        <w:numPr>
          <w:ilvl w:val="3"/>
          <w:numId w:val="69"/>
        </w:numPr>
        <w:tabs>
          <w:tab w:val="left" w:pos="1276"/>
          <w:tab w:val="left" w:pos="1843"/>
          <w:tab w:val="left" w:pos="3588"/>
          <w:tab w:val="clear" w:pos="2880"/>
        </w:tabs>
        <w:overflowPunct w:val="0"/>
        <w:autoSpaceDE w:val="0"/>
        <w:autoSpaceDN w:val="0"/>
        <w:adjustRightInd w:val="0"/>
        <w:spacing w:after="0" w:line="276" w:lineRule="auto"/>
        <w:ind w:left="1276" w:right="592" w:hanging="567"/>
        <w:jc w:val="both"/>
        <w:textAlignment w:val="baseline"/>
        <w:rPr>
          <w:rFonts w:ascii="Tw Cen MT" w:hAnsi="Tw Cen MT"/>
          <w:szCs w:val="26"/>
        </w:rPr>
      </w:pPr>
      <w:r>
        <w:rPr>
          <w:rFonts w:ascii="Tw Cen MT" w:hAnsi="Tw Cen MT"/>
          <w:szCs w:val="26"/>
        </w:rPr>
        <w:t>Les cotes d’implantation pour l’ouvrage;</w:t>
      </w:r>
    </w:p>
    <w:p>
      <w:pPr>
        <w:pStyle w:val="13"/>
        <w:numPr>
          <w:ilvl w:val="3"/>
          <w:numId w:val="69"/>
        </w:numPr>
        <w:tabs>
          <w:tab w:val="left" w:pos="1276"/>
          <w:tab w:val="left" w:pos="1843"/>
          <w:tab w:val="left"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Pr>
          <w:rFonts w:ascii="Tw Cen MT" w:hAnsi="Tw Cen MT"/>
          <w:szCs w:val="26"/>
        </w:rPr>
        <w:t>Les lignes d’axe d’implantation ;</w:t>
      </w:r>
    </w:p>
    <w:p>
      <w:pPr>
        <w:pStyle w:val="13"/>
        <w:numPr>
          <w:ilvl w:val="3"/>
          <w:numId w:val="69"/>
        </w:numPr>
        <w:tabs>
          <w:tab w:val="left" w:pos="1276"/>
          <w:tab w:val="left" w:pos="1843"/>
          <w:tab w:val="left"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Pr>
          <w:rFonts w:ascii="Tw Cen MT" w:hAnsi="Tw Cen MT"/>
          <w:szCs w:val="26"/>
        </w:rPr>
        <w:t>La définition du niveau d’ancrage ;</w:t>
      </w:r>
    </w:p>
    <w:p>
      <w:pPr>
        <w:pStyle w:val="13"/>
        <w:numPr>
          <w:ilvl w:val="3"/>
          <w:numId w:val="69"/>
        </w:numPr>
        <w:tabs>
          <w:tab w:val="left" w:pos="1276"/>
          <w:tab w:val="left" w:pos="1843"/>
          <w:tab w:val="left"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Pr>
          <w:rFonts w:ascii="Tw Cen MT" w:hAnsi="Tw Cen MT"/>
          <w:szCs w:val="26"/>
        </w:rPr>
        <w:t xml:space="preserve">La qualité des matériaux de béton armé </w:t>
      </w:r>
    </w:p>
    <w:p>
      <w:pPr>
        <w:pStyle w:val="13"/>
        <w:numPr>
          <w:ilvl w:val="3"/>
          <w:numId w:val="69"/>
        </w:numPr>
        <w:tabs>
          <w:tab w:val="left" w:pos="1276"/>
          <w:tab w:val="left" w:pos="1843"/>
          <w:tab w:val="left"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Pr>
          <w:rFonts w:ascii="Tw Cen MT" w:hAnsi="Tw Cen MT"/>
          <w:szCs w:val="26"/>
        </w:rPr>
        <w:t>La composition des bétons et mortiers.</w:t>
      </w:r>
    </w:p>
    <w:p>
      <w:pPr>
        <w:pStyle w:val="13"/>
        <w:numPr>
          <w:ilvl w:val="0"/>
          <w:numId w:val="69"/>
        </w:numPr>
        <w:overflowPunct w:val="0"/>
        <w:autoSpaceDE w:val="0"/>
        <w:autoSpaceDN w:val="0"/>
        <w:adjustRightInd w:val="0"/>
        <w:spacing w:after="0" w:line="276" w:lineRule="auto"/>
        <w:ind w:right="592"/>
        <w:jc w:val="both"/>
        <w:textAlignment w:val="baseline"/>
        <w:rPr>
          <w:rFonts w:ascii="Tw Cen MT" w:hAnsi="Tw Cen MT"/>
          <w:szCs w:val="26"/>
        </w:rPr>
      </w:pPr>
      <w:r>
        <w:rPr>
          <w:rFonts w:ascii="Tw Cen MT" w:hAnsi="Tw Cen MT"/>
          <w:szCs w:val="26"/>
        </w:rPr>
        <w:t>Pour les travaux de finition, le contrôle préalable comprend :</w:t>
      </w:r>
    </w:p>
    <w:p>
      <w:pPr>
        <w:pStyle w:val="13"/>
        <w:numPr>
          <w:ilvl w:val="3"/>
          <w:numId w:val="69"/>
        </w:numPr>
        <w:tabs>
          <w:tab w:val="left" w:pos="1276"/>
        </w:tabs>
        <w:overflowPunct w:val="0"/>
        <w:autoSpaceDE w:val="0"/>
        <w:autoSpaceDN w:val="0"/>
        <w:adjustRightInd w:val="0"/>
        <w:spacing w:after="0" w:line="276" w:lineRule="auto"/>
        <w:ind w:left="1276" w:right="592" w:hanging="567"/>
        <w:jc w:val="both"/>
        <w:textAlignment w:val="baseline"/>
        <w:rPr>
          <w:rFonts w:ascii="Tw Cen MT" w:hAnsi="Tw Cen MT"/>
          <w:szCs w:val="26"/>
        </w:rPr>
      </w:pPr>
      <w:r>
        <w:rPr>
          <w:rFonts w:ascii="Tw Cen MT" w:hAnsi="Tw Cen MT"/>
          <w:szCs w:val="26"/>
        </w:rPr>
        <w:t>L’utilisation des produits hydrofuge et d’accrochage pour certains enduits particuliers.</w:t>
      </w:r>
    </w:p>
    <w:p>
      <w:pPr>
        <w:pStyle w:val="13"/>
        <w:spacing w:line="276" w:lineRule="auto"/>
        <w:ind w:right="592" w:firstLine="567"/>
        <w:jc w:val="both"/>
        <w:rPr>
          <w:rFonts w:ascii="Tw Cen MT" w:hAnsi="Tw Cen MT"/>
          <w:sz w:val="22"/>
          <w:szCs w:val="26"/>
        </w:rPr>
      </w:pPr>
      <w:r>
        <w:rPr>
          <w:rFonts w:ascii="Tw Cen MT" w:hAnsi="Tw Cen MT"/>
          <w:szCs w:val="26"/>
        </w:rPr>
        <w:t>Le contrôle préalable apparaît ainsi comme l’étape indispensable de recherche et de détermination de la qualité, en ce qu’il fixe tous les paramètres qui seront exigibles pendant l’exécution des travaux. Les Agréments</w:t>
      </w:r>
      <w:r>
        <w:rPr>
          <w:rFonts w:ascii="Tw Cen MT" w:hAnsi="Tw Cen MT"/>
          <w:sz w:val="22"/>
          <w:szCs w:val="26"/>
        </w:rPr>
        <w:t>, procès-verbaux  et tous autres Contrats Contradictoires seront consignés dans le REGISTRE DES CONTROLES PREALABLES.</w:t>
      </w:r>
    </w:p>
    <w:p>
      <w:pPr>
        <w:tabs>
          <w:tab w:val="left" w:pos="1985"/>
        </w:tabs>
        <w:overflowPunct w:val="0"/>
        <w:autoSpaceDE w:val="0"/>
        <w:autoSpaceDN w:val="0"/>
        <w:adjustRightInd w:val="0"/>
        <w:spacing w:line="360" w:lineRule="auto"/>
        <w:ind w:left="1276" w:right="592"/>
        <w:jc w:val="both"/>
        <w:textAlignment w:val="baseline"/>
        <w:rPr>
          <w:rFonts w:ascii="Tw Cen MT" w:hAnsi="Tw Cen MT" w:cs="Arial"/>
          <w:b/>
        </w:rPr>
      </w:pPr>
      <w:r>
        <w:rPr>
          <w:rFonts w:ascii="Tw Cen MT" w:hAnsi="Tw Cen MT" w:cs="Arial"/>
          <w:b/>
        </w:rPr>
        <w:t xml:space="preserve">  Contrôle pendant</w:t>
      </w:r>
    </w:p>
    <w:p>
      <w:pPr>
        <w:pStyle w:val="13"/>
        <w:spacing w:line="276" w:lineRule="auto"/>
        <w:ind w:right="592" w:firstLine="709"/>
        <w:jc w:val="both"/>
        <w:rPr>
          <w:rFonts w:ascii="Tw Cen MT" w:hAnsi="Tw Cen MT"/>
        </w:rPr>
      </w:pPr>
      <w:r>
        <w:rPr>
          <w:rFonts w:ascii="Tw Cen MT" w:hAnsi="Tw Cen MT"/>
        </w:rPr>
        <w:t xml:space="preserve">Il concerne 40% de la masse totale des opérations de contrôle, et constitue l’étape d’observation de la qualité fixée par le contrôle préalable. C’est essentiellement un contrôle visuel (régularité), géométrie (épaisseur). Le contrôle pendant exige la présence permanente du service qualité sur le chantier.  </w:t>
      </w:r>
    </w:p>
    <w:p>
      <w:pPr>
        <w:pStyle w:val="13"/>
        <w:spacing w:line="276" w:lineRule="auto"/>
        <w:ind w:left="1429" w:right="592" w:hanging="720"/>
        <w:jc w:val="both"/>
        <w:rPr>
          <w:rFonts w:ascii="Tw Cen MT" w:hAnsi="Tw Cen MT"/>
        </w:rPr>
      </w:pPr>
      <w:r>
        <w:rPr>
          <w:rFonts w:ascii="Tw Cen MT" w:hAnsi="Tw Cen MT"/>
        </w:rPr>
        <w:t>Pour les travaux de génie civil, le contrôle pendant comprend en général:</w:t>
      </w:r>
    </w:p>
    <w:p>
      <w:pPr>
        <w:pStyle w:val="13"/>
        <w:numPr>
          <w:ilvl w:val="3"/>
          <w:numId w:val="69"/>
        </w:numPr>
        <w:tabs>
          <w:tab w:val="left" w:pos="1276"/>
          <w:tab w:val="left" w:pos="1701"/>
          <w:tab w:val="clear" w:pos="2880"/>
        </w:tabs>
        <w:overflowPunct w:val="0"/>
        <w:autoSpaceDE w:val="0"/>
        <w:autoSpaceDN w:val="0"/>
        <w:adjustRightInd w:val="0"/>
        <w:spacing w:after="0" w:line="276" w:lineRule="auto"/>
        <w:ind w:left="1276" w:right="592" w:hanging="567"/>
        <w:jc w:val="both"/>
        <w:textAlignment w:val="baseline"/>
        <w:rPr>
          <w:rFonts w:ascii="Tw Cen MT" w:hAnsi="Tw Cen MT"/>
        </w:rPr>
      </w:pPr>
      <w:r>
        <w:rPr>
          <w:rFonts w:ascii="Tw Cen MT" w:hAnsi="Tw Cen MT"/>
        </w:rPr>
        <w:t>Le respect du dosage des bétons et des mortiers ;</w:t>
      </w:r>
    </w:p>
    <w:p>
      <w:pPr>
        <w:pStyle w:val="13"/>
        <w:numPr>
          <w:ilvl w:val="3"/>
          <w:numId w:val="69"/>
        </w:numPr>
        <w:tabs>
          <w:tab w:val="left" w:pos="1276"/>
          <w:tab w:val="left" w:pos="1701"/>
          <w:tab w:val="clear" w:pos="2880"/>
        </w:tabs>
        <w:overflowPunct w:val="0"/>
        <w:autoSpaceDE w:val="0"/>
        <w:autoSpaceDN w:val="0"/>
        <w:adjustRightInd w:val="0"/>
        <w:spacing w:after="0" w:line="276" w:lineRule="auto"/>
        <w:ind w:left="1276" w:right="592" w:hanging="567"/>
        <w:jc w:val="both"/>
        <w:textAlignment w:val="baseline"/>
        <w:rPr>
          <w:rFonts w:ascii="Tw Cen MT" w:hAnsi="Tw Cen MT"/>
        </w:rPr>
      </w:pPr>
      <w:r>
        <w:rPr>
          <w:rFonts w:ascii="Tw Cen MT" w:hAnsi="Tw Cen MT"/>
        </w:rPr>
        <w:t>La qualité du coffrage ;</w:t>
      </w:r>
    </w:p>
    <w:p>
      <w:pPr>
        <w:pStyle w:val="13"/>
        <w:numPr>
          <w:ilvl w:val="3"/>
          <w:numId w:val="69"/>
        </w:numPr>
        <w:tabs>
          <w:tab w:val="left" w:pos="1276"/>
          <w:tab w:val="left" w:pos="1701"/>
          <w:tab w:val="clear" w:pos="2880"/>
        </w:tabs>
        <w:overflowPunct w:val="0"/>
        <w:autoSpaceDE w:val="0"/>
        <w:autoSpaceDN w:val="0"/>
        <w:adjustRightInd w:val="0"/>
        <w:spacing w:after="0" w:line="276" w:lineRule="auto"/>
        <w:ind w:left="1276" w:right="592" w:hanging="567"/>
        <w:jc w:val="both"/>
        <w:textAlignment w:val="baseline"/>
        <w:rPr>
          <w:rFonts w:ascii="Tw Cen MT" w:hAnsi="Tw Cen MT"/>
        </w:rPr>
      </w:pPr>
      <w:r>
        <w:rPr>
          <w:rFonts w:ascii="Tw Cen MT" w:hAnsi="Tw Cen MT"/>
        </w:rPr>
        <w:t>Le respect des dimensions des ouvrages ;</w:t>
      </w:r>
    </w:p>
    <w:p>
      <w:pPr>
        <w:pStyle w:val="13"/>
        <w:numPr>
          <w:ilvl w:val="3"/>
          <w:numId w:val="69"/>
        </w:numPr>
        <w:tabs>
          <w:tab w:val="left" w:pos="1276"/>
          <w:tab w:val="left" w:pos="1701"/>
          <w:tab w:val="clear" w:pos="2880"/>
        </w:tabs>
        <w:overflowPunct w:val="0"/>
        <w:autoSpaceDE w:val="0"/>
        <w:autoSpaceDN w:val="0"/>
        <w:adjustRightInd w:val="0"/>
        <w:spacing w:after="0" w:line="276" w:lineRule="auto"/>
        <w:ind w:left="1276" w:right="592" w:hanging="567"/>
        <w:jc w:val="both"/>
        <w:textAlignment w:val="baseline"/>
        <w:rPr>
          <w:rFonts w:ascii="Tw Cen MT" w:hAnsi="Tw Cen MT"/>
        </w:rPr>
      </w:pPr>
      <w:r>
        <w:rPr>
          <w:rFonts w:ascii="Tw Cen MT" w:hAnsi="Tw Cen MT"/>
        </w:rPr>
        <w:t>Le respect des enrobages ;</w:t>
      </w:r>
    </w:p>
    <w:p>
      <w:pPr>
        <w:pStyle w:val="13"/>
        <w:numPr>
          <w:ilvl w:val="3"/>
          <w:numId w:val="69"/>
        </w:numPr>
        <w:tabs>
          <w:tab w:val="left" w:pos="1276"/>
          <w:tab w:val="left" w:pos="1701"/>
          <w:tab w:val="clear" w:pos="2880"/>
        </w:tabs>
        <w:overflowPunct w:val="0"/>
        <w:autoSpaceDE w:val="0"/>
        <w:autoSpaceDN w:val="0"/>
        <w:adjustRightInd w:val="0"/>
        <w:spacing w:after="0" w:line="276" w:lineRule="auto"/>
        <w:ind w:left="1276" w:right="592" w:hanging="567"/>
        <w:jc w:val="both"/>
        <w:textAlignment w:val="baseline"/>
        <w:rPr>
          <w:rFonts w:ascii="Tw Cen MT" w:hAnsi="Tw Cen MT"/>
        </w:rPr>
      </w:pPr>
      <w:r>
        <w:rPr>
          <w:rFonts w:ascii="Tw Cen MT" w:hAnsi="Tw Cen MT"/>
        </w:rPr>
        <w:t>La verticalité et la planéité des murets et des menuiseries ;</w:t>
      </w:r>
    </w:p>
    <w:p>
      <w:pPr>
        <w:pStyle w:val="13"/>
        <w:numPr>
          <w:ilvl w:val="3"/>
          <w:numId w:val="69"/>
        </w:numPr>
        <w:tabs>
          <w:tab w:val="left" w:pos="1276"/>
          <w:tab w:val="left" w:pos="1701"/>
          <w:tab w:val="clear" w:pos="2880"/>
        </w:tabs>
        <w:overflowPunct w:val="0"/>
        <w:autoSpaceDE w:val="0"/>
        <w:autoSpaceDN w:val="0"/>
        <w:adjustRightInd w:val="0"/>
        <w:spacing w:after="0" w:line="276" w:lineRule="auto"/>
        <w:ind w:left="1276" w:right="592" w:hanging="567"/>
        <w:jc w:val="both"/>
        <w:textAlignment w:val="baseline"/>
        <w:rPr>
          <w:rFonts w:ascii="Tw Cen MT" w:hAnsi="Tw Cen MT"/>
        </w:rPr>
      </w:pPr>
      <w:r>
        <w:rPr>
          <w:rFonts w:ascii="Tw Cen MT" w:hAnsi="Tw Cen MT"/>
        </w:rPr>
        <w:t>La réalisation des essais de pose des ouvrages.</w:t>
      </w:r>
    </w:p>
    <w:p>
      <w:pPr>
        <w:pStyle w:val="13"/>
        <w:tabs>
          <w:tab w:val="left" w:pos="1276"/>
        </w:tabs>
        <w:spacing w:line="276" w:lineRule="auto"/>
        <w:ind w:right="592" w:firstLine="709"/>
        <w:jc w:val="both"/>
        <w:rPr>
          <w:rFonts w:ascii="Tw Cen MT" w:hAnsi="Tw Cen MT"/>
        </w:rPr>
      </w:pPr>
      <w:r>
        <w:rPr>
          <w:rFonts w:ascii="Tw Cen MT" w:hAnsi="Tw Cen MT"/>
        </w:rPr>
        <w:t>Le contrôle pendant l’exécution des travaux constitue l’étape d’obtention de la qualité. Les essais, procès-verbaux, mesures et constats contradictoires sont consignés dans un REGISTRE.</w:t>
      </w:r>
    </w:p>
    <w:p>
      <w:pPr>
        <w:numPr>
          <w:ilvl w:val="2"/>
          <w:numId w:val="68"/>
        </w:numPr>
        <w:tabs>
          <w:tab w:val="left" w:pos="1985"/>
        </w:tabs>
        <w:overflowPunct w:val="0"/>
        <w:autoSpaceDE w:val="0"/>
        <w:autoSpaceDN w:val="0"/>
        <w:adjustRightInd w:val="0"/>
        <w:spacing w:line="360" w:lineRule="auto"/>
        <w:ind w:left="1276" w:right="592" w:hanging="425"/>
        <w:jc w:val="both"/>
        <w:textAlignment w:val="baseline"/>
        <w:rPr>
          <w:rFonts w:ascii="Tw Cen MT" w:hAnsi="Tw Cen MT" w:cs="Arial"/>
          <w:b/>
          <w:szCs w:val="26"/>
        </w:rPr>
      </w:pPr>
      <w:r>
        <w:rPr>
          <w:rFonts w:ascii="Tw Cen MT" w:hAnsi="Tw Cen MT" w:cs="Arial"/>
          <w:b/>
          <w:szCs w:val="26"/>
        </w:rPr>
        <w:t>Exécution des travaux</w:t>
      </w:r>
    </w:p>
    <w:p>
      <w:pPr>
        <w:ind w:right="592" w:firstLine="709"/>
        <w:jc w:val="both"/>
        <w:rPr>
          <w:rFonts w:ascii="Tw Cen MT" w:hAnsi="Tw Cen MT" w:cs="Arial"/>
          <w:i/>
          <w:szCs w:val="26"/>
        </w:rPr>
      </w:pPr>
      <w:r>
        <w:rPr>
          <w:rFonts w:ascii="Tw Cen MT" w:hAnsi="Tw Cen MT" w:cs="Arial"/>
          <w:i/>
          <w:szCs w:val="26"/>
        </w:rPr>
        <w:t>Il est important de noter que le prestataire en charge devra, réalisé une étude et produire de ce fait les plans de détails techniques d’exécution. Ces plans seront validés au préalable par l’Ingénieur de suivi avant le début effectif desdits travaux. Un Procès-Verbal de validation devra être établi à cet effet.</w:t>
      </w:r>
    </w:p>
    <w:p>
      <w:pPr>
        <w:numPr>
          <w:ilvl w:val="0"/>
          <w:numId w:val="70"/>
        </w:numPr>
        <w:tabs>
          <w:tab w:val="left" w:pos="1985"/>
        </w:tabs>
        <w:overflowPunct w:val="0"/>
        <w:autoSpaceDE w:val="0"/>
        <w:autoSpaceDN w:val="0"/>
        <w:adjustRightInd w:val="0"/>
        <w:spacing w:after="240" w:line="276" w:lineRule="auto"/>
        <w:ind w:right="592"/>
        <w:jc w:val="both"/>
        <w:textAlignment w:val="baseline"/>
        <w:rPr>
          <w:rFonts w:ascii="Tw Cen MT" w:hAnsi="Tw Cen MT" w:cs="Arial"/>
          <w:b/>
          <w:szCs w:val="26"/>
        </w:rPr>
      </w:pPr>
      <w:r>
        <w:rPr>
          <w:rFonts w:ascii="Tw Cen MT" w:hAnsi="Tw Cen MT" w:cs="Arial"/>
          <w:b/>
          <w:szCs w:val="26"/>
        </w:rPr>
        <w:t>Fouilles</w:t>
      </w:r>
    </w:p>
    <w:p>
      <w:pPr>
        <w:pStyle w:val="13"/>
        <w:tabs>
          <w:tab w:val="left" w:pos="1276"/>
        </w:tabs>
        <w:spacing w:after="240" w:line="276" w:lineRule="auto"/>
        <w:ind w:right="592" w:firstLine="709"/>
        <w:jc w:val="both"/>
        <w:rPr>
          <w:rFonts w:ascii="Tw Cen MT" w:hAnsi="Tw Cen MT"/>
          <w:szCs w:val="26"/>
        </w:rPr>
      </w:pPr>
      <w:r>
        <w:rPr>
          <w:rFonts w:ascii="Tw Cen MT" w:hAnsi="Tw Cen MT"/>
          <w:szCs w:val="26"/>
        </w:rPr>
        <w:t>Les fouilles en rigoles pour longrines et en puits pour semelles isolés seront exécutées à la main. La largeur des fouilles en rigoles sera de l’ordre de 0,40m. L’entrepreneur devra récupérer le niveau d’assises des fondations au moins à 0,35m du sol et de la côte du terrain la plus haute. Les fouilles descendront au minimum de 65 cm pour les murs de fondations et de 70 cm pour les semelles isolées.</w:t>
      </w:r>
    </w:p>
    <w:p>
      <w:pPr>
        <w:numPr>
          <w:ilvl w:val="0"/>
          <w:numId w:val="70"/>
        </w:numPr>
        <w:tabs>
          <w:tab w:val="left" w:pos="1985"/>
        </w:tabs>
        <w:overflowPunct w:val="0"/>
        <w:autoSpaceDE w:val="0"/>
        <w:autoSpaceDN w:val="0"/>
        <w:adjustRightInd w:val="0"/>
        <w:spacing w:before="240" w:line="276" w:lineRule="auto"/>
        <w:ind w:right="592"/>
        <w:jc w:val="both"/>
        <w:textAlignment w:val="baseline"/>
        <w:rPr>
          <w:rFonts w:ascii="Tw Cen MT" w:hAnsi="Tw Cen MT" w:cs="Arial"/>
          <w:b/>
          <w:szCs w:val="26"/>
        </w:rPr>
      </w:pPr>
      <w:r>
        <w:rPr>
          <w:rFonts w:ascii="Tw Cen MT" w:hAnsi="Tw Cen MT" w:cs="Arial"/>
          <w:b/>
          <w:szCs w:val="26"/>
        </w:rPr>
        <w:t>Remblai</w:t>
      </w:r>
    </w:p>
    <w:p>
      <w:pPr>
        <w:pStyle w:val="13"/>
        <w:tabs>
          <w:tab w:val="left" w:pos="1276"/>
        </w:tabs>
        <w:spacing w:before="240" w:line="276" w:lineRule="auto"/>
        <w:ind w:right="592" w:firstLine="709"/>
        <w:jc w:val="both"/>
        <w:rPr>
          <w:rFonts w:ascii="Tw Cen MT" w:hAnsi="Tw Cen MT"/>
          <w:szCs w:val="26"/>
        </w:rPr>
      </w:pPr>
      <w:r>
        <w:rPr>
          <w:rFonts w:ascii="Tw Cen MT" w:hAnsi="Tw Cen MT"/>
          <w:szCs w:val="26"/>
        </w:rPr>
        <w:tab/>
      </w:r>
      <w:r>
        <w:rPr>
          <w:rFonts w:ascii="Tw Cen MT" w:hAnsi="Tw Cen MT"/>
          <w:szCs w:val="26"/>
        </w:rPr>
        <w:t>Les terres provenant du bon sol des fouilles ainsi que les terres d’apport en matériaux d’emprunt latéritique seront utilisées pour les remblais. Ceux-ci seront exécutés par couches successives de 20 cm d’épaisseur et arrosées et compactées. En l’absence de terre latéritique, on pourra utiliser un sable propre (moins de 3% d’impuretés) ou autres matériaux sélectionnes.</w:t>
      </w:r>
    </w:p>
    <w:p>
      <w:pPr>
        <w:numPr>
          <w:ilvl w:val="3"/>
          <w:numId w:val="0"/>
        </w:numPr>
        <w:tabs>
          <w:tab w:val="left" w:pos="1512"/>
        </w:tabs>
        <w:overflowPunct w:val="0"/>
        <w:autoSpaceDE w:val="0"/>
        <w:adjustRightInd w:val="0"/>
        <w:spacing w:before="120" w:after="240"/>
        <w:jc w:val="both"/>
        <w:outlineLvl w:val="3"/>
        <w:rPr>
          <w:rFonts w:ascii="Tw Cen MT" w:hAnsi="Tw Cen MT" w:cs="Arial"/>
          <w:bCs/>
        </w:rPr>
      </w:pPr>
    </w:p>
    <w:p>
      <w:pPr>
        <w:numPr>
          <w:ilvl w:val="3"/>
          <w:numId w:val="0"/>
        </w:numPr>
        <w:tabs>
          <w:tab w:val="left" w:pos="1512"/>
        </w:tabs>
        <w:overflowPunct w:val="0"/>
        <w:autoSpaceDE w:val="0"/>
        <w:adjustRightInd w:val="0"/>
        <w:spacing w:before="120" w:after="240"/>
        <w:jc w:val="both"/>
        <w:outlineLvl w:val="3"/>
        <w:rPr>
          <w:rFonts w:ascii="Tw Cen MT" w:hAnsi="Tw Cen MT" w:cs="Arial"/>
          <w:b/>
          <w:bCs/>
        </w:rPr>
      </w:pPr>
      <w:r>
        <w:rPr>
          <w:rFonts w:ascii="Tw Cen MT" w:hAnsi="Tw Cen MT" w:cs="Arial"/>
          <w:b/>
          <w:bCs/>
        </w:rPr>
        <w:t>II.3. FONDATION</w:t>
      </w:r>
    </w:p>
    <w:p>
      <w:pPr>
        <w:tabs>
          <w:tab w:val="left" w:pos="1090"/>
        </w:tabs>
        <w:ind w:right="592" w:firstLine="709"/>
        <w:jc w:val="both"/>
        <w:rPr>
          <w:rFonts w:ascii="Tw Cen MT" w:hAnsi="Tw Cen MT" w:cs="Arial"/>
          <w:b/>
          <w:i/>
          <w:szCs w:val="26"/>
        </w:rPr>
      </w:pPr>
      <w:r>
        <w:rPr>
          <w:rFonts w:ascii="Tw Cen MT" w:hAnsi="Tw Cen MT" w:cs="Arial"/>
          <w:b/>
          <w:i/>
          <w:szCs w:val="26"/>
        </w:rPr>
        <w:t>Maçonnerie de béton :</w:t>
      </w:r>
    </w:p>
    <w:p>
      <w:pPr>
        <w:numPr>
          <w:ilvl w:val="0"/>
          <w:numId w:val="71"/>
        </w:numPr>
        <w:spacing w:line="360" w:lineRule="auto"/>
        <w:ind w:right="592"/>
        <w:jc w:val="both"/>
        <w:rPr>
          <w:rFonts w:ascii="Tw Cen MT" w:hAnsi="Tw Cen MT" w:cs="Arial"/>
          <w:b/>
          <w:szCs w:val="26"/>
        </w:rPr>
      </w:pPr>
      <w:r>
        <w:rPr>
          <w:rFonts w:ascii="Tw Cen MT" w:hAnsi="Tw Cen MT" w:cs="Arial"/>
          <w:b/>
          <w:szCs w:val="26"/>
        </w:rPr>
        <w:t>Béton de propreté</w:t>
      </w:r>
    </w:p>
    <w:p>
      <w:pPr>
        <w:ind w:right="592" w:firstLine="567"/>
        <w:jc w:val="both"/>
        <w:rPr>
          <w:rFonts w:ascii="Tw Cen MT" w:hAnsi="Tw Cen MT" w:cs="Arial"/>
          <w:szCs w:val="26"/>
        </w:rPr>
      </w:pPr>
      <w:r>
        <w:rPr>
          <w:rFonts w:ascii="Tw Cen MT" w:hAnsi="Tw Cen MT" w:cs="Arial"/>
          <w:szCs w:val="26"/>
        </w:rPr>
        <w:t>Il aura une épaisseur d’au moins 05 mm, l’on préférera l’utilisation d’agrégats de type mâche fer et gravier de classe granulaire 5/15, et un sable grossier, le liant utilisé sera de classe CPA ou CPJ 35 dont les stocks devront être conservés à l’abri de l’humidité ; le dosage minimal en ciment sera d’au moins 150kg/m3, afin d’obtenir une plate-forme pour une assise parfaite du radier et de protéger tous les éléments en contact avec la terre ferme.</w:t>
      </w:r>
    </w:p>
    <w:p>
      <w:pPr>
        <w:widowControl w:val="0"/>
        <w:numPr>
          <w:ilvl w:val="0"/>
          <w:numId w:val="72"/>
        </w:numPr>
        <w:autoSpaceDE w:val="0"/>
        <w:autoSpaceDN w:val="0"/>
        <w:adjustRightInd w:val="0"/>
        <w:ind w:right="592"/>
        <w:jc w:val="both"/>
        <w:rPr>
          <w:rFonts w:ascii="Tw Cen MT" w:hAnsi="Tw Cen MT" w:cs="Arial"/>
          <w:szCs w:val="26"/>
        </w:rPr>
      </w:pPr>
      <w:r>
        <w:rPr>
          <w:rFonts w:ascii="Tw Cen MT" w:hAnsi="Tw Cen MT" w:cs="Arial"/>
          <w:b/>
          <w:szCs w:val="26"/>
        </w:rPr>
        <w:t>Semelles isolées</w:t>
      </w:r>
      <w:r>
        <w:rPr>
          <w:rFonts w:ascii="Tw Cen MT" w:hAnsi="Tw Cen MT" w:cs="Arial"/>
          <w:szCs w:val="26"/>
        </w:rPr>
        <w:t xml:space="preserve"> sous poteaux carrées de 0,50 m x 0,50x 0,20m.</w:t>
      </w:r>
    </w:p>
    <w:p>
      <w:pPr>
        <w:widowControl w:val="0"/>
        <w:numPr>
          <w:ilvl w:val="0"/>
          <w:numId w:val="73"/>
        </w:numPr>
        <w:autoSpaceDE w:val="0"/>
        <w:autoSpaceDN w:val="0"/>
        <w:adjustRightInd w:val="0"/>
        <w:ind w:right="592"/>
        <w:jc w:val="both"/>
        <w:rPr>
          <w:rFonts w:ascii="Tw Cen MT" w:hAnsi="Tw Cen MT" w:cs="Arial"/>
          <w:szCs w:val="26"/>
        </w:rPr>
      </w:pPr>
      <w:r>
        <w:rPr>
          <w:rFonts w:ascii="Tw Cen MT" w:hAnsi="Tw Cen MT" w:cs="Arial"/>
          <w:szCs w:val="26"/>
        </w:rPr>
        <w:t>Béton armé dosé à 350 Kg/m</w:t>
      </w:r>
      <w:r>
        <w:rPr>
          <w:rFonts w:ascii="Tw Cen MT" w:hAnsi="Tw Cen MT" w:cs="Arial"/>
          <w:szCs w:val="26"/>
          <w:vertAlign w:val="superscript"/>
        </w:rPr>
        <w:t>3</w:t>
      </w:r>
      <w:r>
        <w:rPr>
          <w:rFonts w:ascii="Tw Cen MT" w:hAnsi="Tw Cen MT" w:cs="Arial"/>
          <w:szCs w:val="26"/>
        </w:rPr>
        <w:t xml:space="preserve"> pour semelles isolées, amorces des poteaux et longrines de 20 x 20. Ferraillage : semelles isolées: 3HA8 x 3HA 8,  Chaînage haut : 4HA8, avec cadres  Ø6 espacés de 15cm, longrines : 4HA8, avec cadres Ø6 espacés de 15cm.</w:t>
      </w:r>
    </w:p>
    <w:p>
      <w:pPr>
        <w:widowControl w:val="0"/>
        <w:numPr>
          <w:ilvl w:val="0"/>
          <w:numId w:val="72"/>
        </w:numPr>
        <w:autoSpaceDE w:val="0"/>
        <w:autoSpaceDN w:val="0"/>
        <w:adjustRightInd w:val="0"/>
        <w:ind w:right="592"/>
        <w:jc w:val="both"/>
        <w:rPr>
          <w:rFonts w:ascii="Tw Cen MT" w:hAnsi="Tw Cen MT" w:cs="Arial"/>
          <w:szCs w:val="26"/>
        </w:rPr>
      </w:pPr>
      <w:r>
        <w:rPr>
          <w:rFonts w:ascii="Tw Cen MT" w:hAnsi="Tw Cen MT" w:cs="Arial"/>
          <w:szCs w:val="26"/>
        </w:rPr>
        <w:t xml:space="preserve"> </w:t>
      </w:r>
      <w:r>
        <w:rPr>
          <w:rFonts w:ascii="Tw Cen MT" w:hAnsi="Tw Cen MT" w:cs="Arial"/>
          <w:b/>
          <w:szCs w:val="26"/>
        </w:rPr>
        <w:t>Maçonnerie en agglomérés</w:t>
      </w:r>
      <w:r>
        <w:rPr>
          <w:rFonts w:ascii="Tw Cen MT" w:hAnsi="Tw Cen MT" w:cs="Arial"/>
          <w:szCs w:val="26"/>
        </w:rPr>
        <w:t xml:space="preserve"> de ciment de 20x20x40 bourrés au béton maigre dosé à 250 Kg/m</w:t>
      </w:r>
      <w:r>
        <w:rPr>
          <w:rFonts w:ascii="Tw Cen MT" w:hAnsi="Tw Cen MT" w:cs="Arial"/>
          <w:szCs w:val="26"/>
          <w:vertAlign w:val="superscript"/>
        </w:rPr>
        <w:t>3</w:t>
      </w:r>
      <w:r>
        <w:rPr>
          <w:rFonts w:ascii="Tw Cen MT" w:hAnsi="Tw Cen MT" w:cs="Arial"/>
          <w:szCs w:val="26"/>
        </w:rPr>
        <w:t>;</w:t>
      </w:r>
    </w:p>
    <w:p>
      <w:pPr>
        <w:widowControl w:val="0"/>
        <w:numPr>
          <w:ilvl w:val="0"/>
          <w:numId w:val="72"/>
        </w:numPr>
        <w:autoSpaceDE w:val="0"/>
        <w:autoSpaceDN w:val="0"/>
        <w:adjustRightInd w:val="0"/>
        <w:ind w:right="592"/>
        <w:jc w:val="both"/>
        <w:rPr>
          <w:rFonts w:ascii="Tw Cen MT" w:hAnsi="Tw Cen MT" w:cs="Arial"/>
          <w:szCs w:val="26"/>
        </w:rPr>
      </w:pPr>
      <w:r>
        <w:rPr>
          <w:rFonts w:ascii="Tw Cen MT" w:hAnsi="Tw Cen MT" w:cs="Arial"/>
          <w:b/>
          <w:szCs w:val="26"/>
        </w:rPr>
        <w:t>Dallage du sol</w:t>
      </w:r>
      <w:r>
        <w:rPr>
          <w:rFonts w:ascii="Tw Cen MT" w:hAnsi="Tw Cen MT" w:cs="Arial"/>
          <w:szCs w:val="26"/>
        </w:rPr>
        <w:t xml:space="preserve"> sur toutes les surfaces du remblai compacté de 8cm d’épaisseur en béton non-armé dosé à 250 Kg/m</w:t>
      </w:r>
      <w:r>
        <w:rPr>
          <w:rFonts w:ascii="Tw Cen MT" w:hAnsi="Tw Cen MT" w:cs="Arial"/>
          <w:szCs w:val="26"/>
          <w:vertAlign w:val="superscript"/>
        </w:rPr>
        <w:t>3</w:t>
      </w:r>
      <w:r>
        <w:rPr>
          <w:rFonts w:ascii="Tw Cen MT" w:hAnsi="Tw Cen MT" w:cs="Arial"/>
          <w:szCs w:val="26"/>
        </w:rPr>
        <w:t>;</w:t>
      </w:r>
    </w:p>
    <w:p>
      <w:pPr>
        <w:widowControl w:val="0"/>
        <w:numPr>
          <w:ilvl w:val="0"/>
          <w:numId w:val="72"/>
        </w:numPr>
        <w:autoSpaceDE w:val="0"/>
        <w:autoSpaceDN w:val="0"/>
        <w:adjustRightInd w:val="0"/>
        <w:ind w:right="592"/>
        <w:jc w:val="both"/>
        <w:rPr>
          <w:rFonts w:ascii="Tw Cen MT" w:hAnsi="Tw Cen MT" w:cs="Arial"/>
          <w:szCs w:val="26"/>
        </w:rPr>
      </w:pPr>
      <w:r>
        <w:rPr>
          <w:rFonts w:ascii="Tw Cen MT" w:hAnsi="Tw Cen MT" w:cs="Arial"/>
          <w:b/>
          <w:szCs w:val="26"/>
        </w:rPr>
        <w:t>Une chape</w:t>
      </w:r>
      <w:r>
        <w:rPr>
          <w:rFonts w:ascii="Tw Cen MT" w:hAnsi="Tw Cen MT" w:cs="Arial"/>
          <w:szCs w:val="26"/>
        </w:rPr>
        <w:t xml:space="preserve"> de 2 à 3 cm d’épaisseur lissée à la barbotine avec un mortier de ciment dosé à 400 Kg/m</w:t>
      </w:r>
      <w:r>
        <w:rPr>
          <w:rFonts w:ascii="Tw Cen MT" w:hAnsi="Tw Cen MT" w:cs="Arial"/>
          <w:szCs w:val="26"/>
          <w:vertAlign w:val="superscript"/>
        </w:rPr>
        <w:t>3</w:t>
      </w:r>
      <w:r>
        <w:rPr>
          <w:rFonts w:ascii="Tw Cen MT" w:hAnsi="Tw Cen MT" w:cs="Arial"/>
          <w:szCs w:val="26"/>
        </w:rPr>
        <w:t xml:space="preserve"> sera réalisée;</w:t>
      </w:r>
    </w:p>
    <w:p>
      <w:pPr>
        <w:widowControl w:val="0"/>
        <w:numPr>
          <w:ilvl w:val="0"/>
          <w:numId w:val="72"/>
        </w:numPr>
        <w:autoSpaceDE w:val="0"/>
        <w:autoSpaceDN w:val="0"/>
        <w:adjustRightInd w:val="0"/>
        <w:ind w:right="592"/>
        <w:jc w:val="both"/>
        <w:rPr>
          <w:rFonts w:ascii="Tw Cen MT" w:hAnsi="Tw Cen MT" w:cs="Arial"/>
          <w:szCs w:val="26"/>
        </w:rPr>
      </w:pPr>
      <w:r>
        <w:rPr>
          <w:rFonts w:ascii="Tw Cen MT" w:hAnsi="Tw Cen MT" w:cs="Arial"/>
          <w:b/>
          <w:szCs w:val="26"/>
        </w:rPr>
        <w:t>Une fosse septique</w:t>
      </w:r>
      <w:r>
        <w:rPr>
          <w:rFonts w:ascii="Tw Cen MT" w:hAnsi="Tw Cen MT" w:cs="Arial"/>
          <w:szCs w:val="26"/>
        </w:rPr>
        <w:t xml:space="preserve"> en maçonnerie compartimentée couverte à l’aide de dalettes en B.A.</w:t>
      </w:r>
    </w:p>
    <w:p>
      <w:pPr>
        <w:widowControl w:val="0"/>
        <w:numPr>
          <w:ilvl w:val="0"/>
          <w:numId w:val="72"/>
        </w:numPr>
        <w:autoSpaceDE w:val="0"/>
        <w:autoSpaceDN w:val="0"/>
        <w:adjustRightInd w:val="0"/>
        <w:ind w:right="592"/>
        <w:jc w:val="both"/>
        <w:rPr>
          <w:rFonts w:ascii="Tw Cen MT" w:hAnsi="Tw Cen MT" w:cs="Arial"/>
          <w:szCs w:val="26"/>
        </w:rPr>
      </w:pPr>
      <w:r>
        <w:rPr>
          <w:rFonts w:ascii="Tw Cen MT" w:hAnsi="Tw Cen MT" w:cs="Arial"/>
          <w:b/>
          <w:szCs w:val="26"/>
        </w:rPr>
        <w:t>Un puisard</w:t>
      </w:r>
      <w:r>
        <w:rPr>
          <w:rFonts w:ascii="Tw Cen MT" w:hAnsi="Tw Cen MT" w:cs="Arial"/>
          <w:szCs w:val="26"/>
        </w:rPr>
        <w:t xml:space="preserve"> de diamètre intérieur, égal à 1 m sur une profondeur de 10m. </w:t>
      </w:r>
    </w:p>
    <w:p>
      <w:pPr>
        <w:numPr>
          <w:ilvl w:val="3"/>
          <w:numId w:val="0"/>
        </w:numPr>
        <w:tabs>
          <w:tab w:val="left" w:pos="1512"/>
        </w:tabs>
        <w:overflowPunct w:val="0"/>
        <w:autoSpaceDE w:val="0"/>
        <w:adjustRightInd w:val="0"/>
        <w:spacing w:before="120" w:after="240"/>
        <w:jc w:val="both"/>
        <w:outlineLvl w:val="3"/>
        <w:rPr>
          <w:rFonts w:ascii="Tw Cen MT" w:hAnsi="Tw Cen MT" w:cs="Arial"/>
          <w:bCs/>
        </w:rPr>
      </w:pPr>
    </w:p>
    <w:p>
      <w:pPr>
        <w:numPr>
          <w:ilvl w:val="3"/>
          <w:numId w:val="0"/>
        </w:numPr>
        <w:tabs>
          <w:tab w:val="left" w:pos="1512"/>
        </w:tabs>
        <w:overflowPunct w:val="0"/>
        <w:autoSpaceDE w:val="0"/>
        <w:adjustRightInd w:val="0"/>
        <w:spacing w:before="120" w:after="240"/>
        <w:jc w:val="both"/>
        <w:outlineLvl w:val="3"/>
        <w:rPr>
          <w:rFonts w:ascii="Tw Cen MT" w:hAnsi="Tw Cen MT" w:cs="Arial"/>
          <w:b/>
          <w:bCs/>
        </w:rPr>
      </w:pPr>
      <w:r>
        <w:rPr>
          <w:rFonts w:ascii="Tw Cen MT" w:hAnsi="Tw Cen MT" w:cs="Arial"/>
          <w:b/>
          <w:bCs/>
        </w:rPr>
        <w:t>II.4. MACONNERIE EN ELEVATION ET EN BETON</w:t>
      </w:r>
    </w:p>
    <w:p>
      <w:pPr>
        <w:keepNext/>
        <w:spacing w:after="120"/>
        <w:outlineLvl w:val="2"/>
        <w:rPr>
          <w:rFonts w:ascii="Tw Cen MT" w:hAnsi="Tw Cen MT"/>
          <w:bCs/>
        </w:rPr>
      </w:pPr>
      <w:r>
        <w:rPr>
          <w:rFonts w:ascii="Tw Cen MT" w:hAnsi="Tw Cen MT"/>
          <w:bCs/>
        </w:rPr>
        <w:t xml:space="preserve">II 4.1 </w:t>
      </w:r>
      <w:r>
        <w:rPr>
          <w:rFonts w:ascii="Tw Cen MT" w:hAnsi="Tw Cen MT"/>
          <w:b/>
          <w:bCs/>
        </w:rPr>
        <w:t>Murs en élévation</w:t>
      </w:r>
    </w:p>
    <w:p>
      <w:pPr>
        <w:widowControl w:val="0"/>
        <w:spacing w:after="120"/>
        <w:ind w:firstLine="720"/>
        <w:jc w:val="both"/>
        <w:rPr>
          <w:rFonts w:ascii="Tw Cen MT" w:hAnsi="Tw Cen MT"/>
        </w:rPr>
      </w:pPr>
      <w:r>
        <w:rPr>
          <w:rFonts w:ascii="Tw Cen MT" w:hAnsi="Tw Cen MT"/>
        </w:rPr>
        <w:t>Les murs porteurs seront montés en agglomérés de ciment creux 15 x 20 x 40 suivant les indications des plans. Ces agglomérés devront dosés à 300 kg/m</w:t>
      </w:r>
      <w:r>
        <w:rPr>
          <w:rFonts w:ascii="Tw Cen MT" w:hAnsi="Tw Cen MT"/>
          <w:vertAlign w:val="superscript"/>
        </w:rPr>
        <w:t>3</w:t>
      </w:r>
      <w:r>
        <w:rPr>
          <w:rFonts w:ascii="Tw Cen MT" w:hAnsi="Tw Cen MT"/>
        </w:rPr>
        <w:t xml:space="preserve"> devront offrir une résistance non négligeable à l’écrasement.</w:t>
      </w:r>
    </w:p>
    <w:p>
      <w:pPr>
        <w:widowControl w:val="0"/>
        <w:spacing w:after="120"/>
        <w:jc w:val="both"/>
        <w:rPr>
          <w:rFonts w:ascii="Tw Cen MT" w:hAnsi="Tw Cen MT"/>
        </w:rPr>
      </w:pPr>
      <w:r>
        <w:rPr>
          <w:rFonts w:ascii="Tw Cen MT" w:hAnsi="Tw Cen MT"/>
          <w:b/>
          <w:u w:val="single"/>
        </w:rPr>
        <w:t>N.B</w:t>
      </w:r>
      <w:r>
        <w:rPr>
          <w:rFonts w:ascii="Tw Cen MT" w:hAnsi="Tw Cen MT"/>
          <w:b/>
        </w:rPr>
        <w:t xml:space="preserve"> : </w:t>
      </w:r>
      <w:r>
        <w:rPr>
          <w:rFonts w:ascii="Tw Cen MT" w:hAnsi="Tw Cen MT"/>
        </w:rPr>
        <w:t>Les murs de séparation de pièces contiguës seront identiques aux murs des pignons. Ces murs de séparation seront montés en agglomérés de ciment creux 15 x 20 x 40</w:t>
      </w:r>
    </w:p>
    <w:p>
      <w:pPr>
        <w:keepNext/>
        <w:spacing w:after="120"/>
        <w:outlineLvl w:val="2"/>
        <w:rPr>
          <w:rFonts w:ascii="Tw Cen MT" w:hAnsi="Tw Cen MT"/>
          <w:b/>
          <w:bCs/>
        </w:rPr>
      </w:pPr>
      <w:r>
        <w:rPr>
          <w:rFonts w:ascii="Tw Cen MT" w:hAnsi="Tw Cen MT"/>
          <w:b/>
          <w:bCs/>
        </w:rPr>
        <w:t>II 4.2 Poteaux</w:t>
      </w:r>
    </w:p>
    <w:p>
      <w:pPr>
        <w:widowControl w:val="0"/>
        <w:spacing w:after="120"/>
        <w:ind w:firstLine="720"/>
        <w:jc w:val="both"/>
        <w:rPr>
          <w:rFonts w:ascii="Tw Cen MT" w:hAnsi="Tw Cen MT"/>
        </w:rPr>
      </w:pPr>
      <w:r>
        <w:rPr>
          <w:rFonts w:ascii="Tw Cen MT" w:hAnsi="Tw Cen MT"/>
        </w:rPr>
        <w:t>En béton armé de section :</w:t>
      </w:r>
    </w:p>
    <w:p>
      <w:pPr>
        <w:widowControl w:val="0"/>
        <w:numPr>
          <w:ilvl w:val="0"/>
          <w:numId w:val="74"/>
        </w:numPr>
        <w:spacing w:after="120"/>
        <w:ind w:left="357" w:hanging="357"/>
        <w:jc w:val="both"/>
        <w:rPr>
          <w:rFonts w:ascii="Tw Cen MT" w:hAnsi="Tw Cen MT"/>
        </w:rPr>
      </w:pPr>
      <w:r>
        <w:rPr>
          <w:rFonts w:ascii="Tw Cen MT" w:hAnsi="Tw Cen MT"/>
        </w:rPr>
        <w:t>15 x 15   dans les murs ;</w:t>
      </w:r>
    </w:p>
    <w:p>
      <w:pPr>
        <w:widowControl w:val="0"/>
        <w:numPr>
          <w:ilvl w:val="0"/>
          <w:numId w:val="74"/>
        </w:numPr>
        <w:spacing w:after="120"/>
        <w:ind w:left="357" w:hanging="357"/>
        <w:jc w:val="both"/>
        <w:rPr>
          <w:rFonts w:ascii="Tw Cen MT" w:hAnsi="Tw Cen MT"/>
        </w:rPr>
      </w:pPr>
      <w:r>
        <w:rPr>
          <w:rFonts w:ascii="Tw Cen MT" w:hAnsi="Tw Cen MT"/>
        </w:rPr>
        <w:t>Béton : dosé à 350 kg/m</w:t>
      </w:r>
      <w:r>
        <w:rPr>
          <w:rFonts w:ascii="Tw Cen MT" w:hAnsi="Tw Cen MT"/>
          <w:vertAlign w:val="superscript"/>
        </w:rPr>
        <w:t>3</w:t>
      </w:r>
      <w:r>
        <w:rPr>
          <w:rFonts w:ascii="Tw Cen MT" w:hAnsi="Tw Cen MT"/>
        </w:rPr>
        <w:t> ;</w:t>
      </w:r>
    </w:p>
    <w:p>
      <w:pPr>
        <w:widowControl w:val="0"/>
        <w:numPr>
          <w:ilvl w:val="0"/>
          <w:numId w:val="74"/>
        </w:numPr>
        <w:spacing w:after="120"/>
        <w:ind w:left="357" w:hanging="357"/>
        <w:jc w:val="both"/>
        <w:rPr>
          <w:rFonts w:ascii="Tw Cen MT" w:hAnsi="Tw Cen MT"/>
        </w:rPr>
      </w:pPr>
      <w:r>
        <w:rPr>
          <w:rFonts w:ascii="Tw Cen MT" w:hAnsi="Tw Cen MT"/>
        </w:rPr>
        <w:t xml:space="preserve">Aciers : </w:t>
      </w:r>
    </w:p>
    <w:p>
      <w:pPr>
        <w:widowControl w:val="0"/>
        <w:numPr>
          <w:ilvl w:val="0"/>
          <w:numId w:val="75"/>
        </w:numPr>
        <w:spacing w:after="120"/>
        <w:rPr>
          <w:rFonts w:ascii="Tw Cen MT" w:hAnsi="Tw Cen MT"/>
        </w:rPr>
      </w:pPr>
      <w:r>
        <w:rPr>
          <w:rFonts w:ascii="Tw Cen MT" w:hAnsi="Tw Cen MT"/>
        </w:rPr>
        <w:t>Cadres T6 tous les 20 cm + 4 filants T8 aux angles pour poteaux 15 x 15 ;</w:t>
      </w:r>
    </w:p>
    <w:p>
      <w:pPr>
        <w:widowControl w:val="0"/>
        <w:numPr>
          <w:ilvl w:val="0"/>
          <w:numId w:val="75"/>
        </w:numPr>
        <w:spacing w:after="120"/>
        <w:jc w:val="both"/>
        <w:rPr>
          <w:rFonts w:ascii="Tw Cen MT" w:hAnsi="Tw Cen MT"/>
        </w:rPr>
      </w:pPr>
      <w:r>
        <w:rPr>
          <w:rFonts w:ascii="Tw Cen MT" w:hAnsi="Tw Cen MT"/>
        </w:rPr>
        <w:t>Cadres + épingles T6 tous les 20 cm + 4 filants T8 aux angles et 2 filants T8 au milieu des grands côtés pour les poteaux de 15 x 30</w:t>
      </w:r>
    </w:p>
    <w:p>
      <w:pPr>
        <w:widowControl w:val="0"/>
        <w:spacing w:after="120"/>
        <w:ind w:left="357"/>
        <w:jc w:val="both"/>
        <w:rPr>
          <w:rFonts w:ascii="Tw Cen MT" w:hAnsi="Tw Cen MT"/>
        </w:rPr>
      </w:pPr>
    </w:p>
    <w:p>
      <w:pPr>
        <w:keepNext/>
        <w:spacing w:after="120"/>
        <w:outlineLvl w:val="2"/>
        <w:rPr>
          <w:rFonts w:ascii="Tw Cen MT" w:hAnsi="Tw Cen MT"/>
          <w:b/>
          <w:bCs/>
        </w:rPr>
      </w:pPr>
      <w:r>
        <w:rPr>
          <w:rFonts w:ascii="Tw Cen MT" w:hAnsi="Tw Cen MT"/>
          <w:b/>
          <w:bCs/>
        </w:rPr>
        <w:t>II 4.3 Enduit</w:t>
      </w:r>
    </w:p>
    <w:p>
      <w:pPr>
        <w:widowControl w:val="0"/>
        <w:spacing w:after="120"/>
        <w:ind w:firstLine="720"/>
        <w:jc w:val="both"/>
        <w:rPr>
          <w:rFonts w:ascii="Tw Cen MT" w:hAnsi="Tw Cen MT"/>
        </w:rPr>
      </w:pPr>
      <w:r>
        <w:rPr>
          <w:rFonts w:ascii="Tw Cen MT" w:hAnsi="Tw Cen MT"/>
        </w:rPr>
        <w:t>Sur toutes les parties maçonnées ou bétonnées, il sera exécuté un enduit de ciment de 2 cm épaisseur en mortier de ciment dosé à 400 kg/m</w:t>
      </w:r>
      <w:r>
        <w:rPr>
          <w:rFonts w:ascii="Tw Cen MT" w:hAnsi="Tw Cen MT"/>
          <w:vertAlign w:val="superscript"/>
        </w:rPr>
        <w:t>3</w:t>
      </w:r>
      <w:r>
        <w:rPr>
          <w:rFonts w:ascii="Tw Cen MT" w:hAnsi="Tw Cen MT"/>
        </w:rPr>
        <w:t>.</w:t>
      </w:r>
    </w:p>
    <w:p>
      <w:pPr>
        <w:widowControl w:val="0"/>
        <w:numPr>
          <w:ilvl w:val="0"/>
          <w:numId w:val="74"/>
        </w:numPr>
        <w:spacing w:after="120"/>
        <w:ind w:left="357" w:hanging="357"/>
        <w:jc w:val="both"/>
        <w:rPr>
          <w:rFonts w:ascii="Tw Cen MT" w:hAnsi="Tw Cen MT"/>
        </w:rPr>
      </w:pPr>
      <w:r>
        <w:rPr>
          <w:rFonts w:ascii="Tw Cen MT" w:hAnsi="Tw Cen MT"/>
        </w:rPr>
        <w:t>Accrochage : gobetis avec mortier de gros sable (rivière) ;</w:t>
      </w:r>
    </w:p>
    <w:p>
      <w:pPr>
        <w:widowControl w:val="0"/>
        <w:numPr>
          <w:ilvl w:val="0"/>
          <w:numId w:val="74"/>
        </w:numPr>
        <w:spacing w:after="120"/>
        <w:ind w:left="357" w:hanging="357"/>
        <w:jc w:val="both"/>
        <w:rPr>
          <w:rFonts w:ascii="Tw Cen MT" w:hAnsi="Tw Cen MT"/>
        </w:rPr>
      </w:pPr>
      <w:r>
        <w:rPr>
          <w:rFonts w:ascii="Tw Cen MT" w:hAnsi="Tw Cen MT"/>
        </w:rPr>
        <w:t>Finition : avec mortier de sable fin taloché.</w:t>
      </w:r>
    </w:p>
    <w:p>
      <w:pPr>
        <w:tabs>
          <w:tab w:val="left" w:pos="520"/>
          <w:tab w:val="left" w:pos="840"/>
          <w:tab w:val="left" w:pos="1180"/>
        </w:tabs>
        <w:overflowPunct w:val="0"/>
        <w:autoSpaceDE w:val="0"/>
        <w:autoSpaceDN w:val="0"/>
        <w:adjustRightInd w:val="0"/>
        <w:spacing w:after="120"/>
        <w:jc w:val="both"/>
        <w:textAlignment w:val="baseline"/>
        <w:rPr>
          <w:rFonts w:ascii="Tw Cen MT" w:hAnsi="Tw Cen MT" w:eastAsia="Arial Unicode MS"/>
          <w:b/>
        </w:rPr>
      </w:pPr>
      <w:r>
        <w:rPr>
          <w:rFonts w:ascii="Tw Cen MT" w:hAnsi="Tw Cen MT" w:eastAsia="Arial Unicode MS"/>
          <w:b/>
          <w:u w:val="single"/>
        </w:rPr>
        <w:t>Note importante</w:t>
      </w:r>
      <w:r>
        <w:rPr>
          <w:rFonts w:ascii="Tw Cen MT" w:hAnsi="Tw Cen MT" w:eastAsia="Arial Unicode MS"/>
          <w:b/>
        </w:rPr>
        <w:t> : ESSAIS DE RESISTANCE</w:t>
      </w:r>
    </w:p>
    <w:p>
      <w:pPr>
        <w:tabs>
          <w:tab w:val="left" w:pos="520"/>
          <w:tab w:val="left" w:pos="840"/>
          <w:tab w:val="left" w:pos="1180"/>
        </w:tabs>
        <w:spacing w:after="120"/>
        <w:jc w:val="both"/>
        <w:rPr>
          <w:rFonts w:ascii="Tw Cen MT" w:hAnsi="Tw Cen MT" w:eastAsia="Arial Unicode MS"/>
        </w:rPr>
      </w:pPr>
      <w:r>
        <w:rPr>
          <w:rFonts w:ascii="Tw Cen MT" w:hAnsi="Tw Cen MT" w:eastAsia="Arial Unicode MS"/>
        </w:rPr>
        <w:t>Les essais pour les parpaings creux et les bétons doivent être réalisés par un laboratoire géotechnique agrée. Toute fois l’entreprise est tenu à faire d`autres essais jugés utile par le maitre d`œuvre.</w:t>
      </w:r>
    </w:p>
    <w:p>
      <w:pPr>
        <w:tabs>
          <w:tab w:val="left" w:pos="520"/>
          <w:tab w:val="left" w:pos="840"/>
          <w:tab w:val="left" w:pos="1180"/>
        </w:tabs>
        <w:spacing w:after="120"/>
        <w:jc w:val="both"/>
        <w:rPr>
          <w:rFonts w:ascii="Tw Cen MT" w:hAnsi="Tw Cen MT" w:eastAsia="Arial Unicode MS"/>
        </w:rPr>
      </w:pPr>
      <w:r>
        <w:rPr>
          <w:rFonts w:ascii="Tw Cen MT" w:hAnsi="Tw Cen MT" w:eastAsia="Arial Unicode MS"/>
        </w:rPr>
        <w:t>La fréquence de ces essais sera un essai de convenance en début de chantier et un essai par mois en cours de chantier mettant en œuvre ces matériaux.</w:t>
      </w:r>
    </w:p>
    <w:p>
      <w:pPr>
        <w:pStyle w:val="11"/>
        <w:tabs>
          <w:tab w:val="left" w:pos="0"/>
        </w:tabs>
        <w:rPr>
          <w:rFonts w:ascii="Tw Cen MT" w:hAnsi="Tw Cen MT" w:cs="Arial"/>
          <w:b/>
          <w:bCs/>
          <w:sz w:val="24"/>
          <w:szCs w:val="24"/>
        </w:rPr>
      </w:pPr>
      <w:r>
        <w:rPr>
          <w:rFonts w:ascii="Tw Cen MT" w:hAnsi="Tw Cen MT" w:cs="Arial"/>
          <w:b/>
          <w:bCs/>
          <w:sz w:val="24"/>
          <w:szCs w:val="24"/>
        </w:rPr>
        <w:t xml:space="preserve">II.4.4 </w:t>
      </w:r>
      <w:r>
        <w:rPr>
          <w:rFonts w:ascii="Tw Cen MT" w:hAnsi="Tw Cen MT" w:cs="Arial"/>
          <w:b/>
          <w:sz w:val="24"/>
          <w:szCs w:val="24"/>
        </w:rPr>
        <w:t>Raccords de maçonneries</w:t>
      </w:r>
      <w:r>
        <w:rPr>
          <w:rFonts w:ascii="Tw Cen MT" w:hAnsi="Tw Cen MT" w:cs="Arial"/>
          <w:b/>
          <w:bCs/>
          <w:sz w:val="24"/>
          <w:szCs w:val="24"/>
        </w:rPr>
        <w:t> :</w:t>
      </w:r>
    </w:p>
    <w:p>
      <w:pPr>
        <w:pStyle w:val="11"/>
        <w:tabs>
          <w:tab w:val="left" w:pos="0"/>
        </w:tabs>
        <w:rPr>
          <w:rFonts w:ascii="Tw Cen MT" w:hAnsi="Tw Cen MT" w:cs="Arial"/>
          <w:sz w:val="24"/>
          <w:szCs w:val="24"/>
        </w:rPr>
      </w:pPr>
      <w:r>
        <w:rPr>
          <w:rFonts w:ascii="Tw Cen MT" w:hAnsi="Tw Cen MT" w:cs="Arial"/>
          <w:sz w:val="24"/>
          <w:szCs w:val="24"/>
        </w:rPr>
        <w:t>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devra être parfaitement dressé.</w:t>
      </w:r>
    </w:p>
    <w:p>
      <w:pPr>
        <w:numPr>
          <w:ilvl w:val="3"/>
          <w:numId w:val="0"/>
        </w:numPr>
        <w:tabs>
          <w:tab w:val="left" w:pos="1512"/>
        </w:tabs>
        <w:overflowPunct w:val="0"/>
        <w:autoSpaceDE w:val="0"/>
        <w:adjustRightInd w:val="0"/>
        <w:spacing w:before="120" w:after="240"/>
        <w:jc w:val="both"/>
        <w:outlineLvl w:val="3"/>
        <w:rPr>
          <w:rFonts w:ascii="Tw Cen MT" w:hAnsi="Tw Cen MT" w:cs="Arial"/>
          <w:bCs/>
        </w:rPr>
      </w:pPr>
    </w:p>
    <w:p>
      <w:pPr>
        <w:numPr>
          <w:ilvl w:val="3"/>
          <w:numId w:val="0"/>
        </w:numPr>
        <w:tabs>
          <w:tab w:val="left" w:pos="1512"/>
        </w:tabs>
        <w:overflowPunct w:val="0"/>
        <w:autoSpaceDE w:val="0"/>
        <w:adjustRightInd w:val="0"/>
        <w:spacing w:before="120" w:after="120"/>
        <w:jc w:val="both"/>
        <w:outlineLvl w:val="3"/>
        <w:rPr>
          <w:rFonts w:ascii="Tw Cen MT" w:hAnsi="Tw Cen MT" w:cs="Segoe UI Semibold"/>
          <w:b/>
        </w:rPr>
      </w:pPr>
      <w:r>
        <w:rPr>
          <w:rFonts w:ascii="Tw Cen MT" w:hAnsi="Tw Cen MT" w:cs="Segoe UI Semibold"/>
          <w:b/>
        </w:rPr>
        <w:t xml:space="preserve">II.5. </w:t>
      </w:r>
      <w:r>
        <w:rPr>
          <w:rFonts w:ascii="Tw Cen MT" w:hAnsi="Tw Cen MT" w:cs="Segoe UI"/>
          <w:b/>
          <w:bCs/>
          <w:color w:val="000000"/>
        </w:rPr>
        <w:t>CHARPENTE ET COUVERTURE</w:t>
      </w:r>
      <w:r>
        <w:rPr>
          <w:rFonts w:ascii="Tw Cen MT" w:hAnsi="Tw Cen MT" w:cs="Arial"/>
        </w:rPr>
        <w:tab/>
      </w:r>
    </w:p>
    <w:p>
      <w:pPr>
        <w:pStyle w:val="11"/>
        <w:tabs>
          <w:tab w:val="left" w:pos="0"/>
        </w:tabs>
        <w:spacing w:after="0" w:line="276" w:lineRule="auto"/>
        <w:rPr>
          <w:rFonts w:ascii="Tw Cen MT" w:hAnsi="Tw Cen MT" w:cs="Arial"/>
          <w:b/>
          <w:bCs/>
          <w:sz w:val="32"/>
          <w:szCs w:val="24"/>
        </w:rPr>
      </w:pPr>
      <w:r>
        <w:rPr>
          <w:rFonts w:ascii="Tw Cen MT" w:hAnsi="Tw Cen MT" w:cs="Arial"/>
          <w:b/>
          <w:bCs/>
          <w:sz w:val="24"/>
          <w:szCs w:val="24"/>
        </w:rPr>
        <w:t xml:space="preserve">II.5.1. </w:t>
      </w:r>
      <w:r>
        <w:rPr>
          <w:rFonts w:ascii="Tw Cen MT" w:hAnsi="Tw Cen MT" w:cs="Segoe UI"/>
          <w:b/>
          <w:color w:val="000000"/>
          <w:sz w:val="24"/>
          <w:szCs w:val="20"/>
        </w:rPr>
        <w:t>Dépose de couverture et charpente</w:t>
      </w:r>
      <w:r>
        <w:rPr>
          <w:rFonts w:ascii="Tw Cen MT" w:hAnsi="Tw Cen MT" w:cs="Arial"/>
          <w:b/>
          <w:bCs/>
          <w:sz w:val="32"/>
          <w:szCs w:val="24"/>
        </w:rPr>
        <w:t> </w:t>
      </w:r>
    </w:p>
    <w:p>
      <w:pPr>
        <w:pStyle w:val="11"/>
        <w:tabs>
          <w:tab w:val="left" w:pos="0"/>
        </w:tabs>
        <w:spacing w:after="0" w:line="276" w:lineRule="auto"/>
        <w:rPr>
          <w:rFonts w:ascii="Tw Cen MT" w:hAnsi="Tw Cen MT" w:cs="Arial"/>
          <w:bCs/>
          <w:sz w:val="24"/>
          <w:szCs w:val="24"/>
        </w:rPr>
      </w:pPr>
      <w:r>
        <w:rPr>
          <w:rFonts w:ascii="Tw Cen MT" w:hAnsi="Tw Cen MT" w:cs="Arial"/>
          <w:b/>
          <w:bCs/>
          <w:sz w:val="28"/>
          <w:szCs w:val="24"/>
        </w:rPr>
        <w:t xml:space="preserve">       </w:t>
      </w:r>
      <w:r>
        <w:rPr>
          <w:rFonts w:ascii="Tw Cen MT" w:hAnsi="Tw Cen MT" w:cs="Arial"/>
          <w:bCs/>
          <w:sz w:val="24"/>
          <w:szCs w:val="24"/>
        </w:rPr>
        <w:t>L’opération de dépose devrait s’effectuer de manière à permettre la récupération d’objets, notamment, de tôles.</w:t>
      </w:r>
    </w:p>
    <w:p>
      <w:pPr>
        <w:pStyle w:val="11"/>
        <w:tabs>
          <w:tab w:val="left" w:pos="0"/>
        </w:tabs>
        <w:spacing w:after="0" w:line="276" w:lineRule="auto"/>
        <w:rPr>
          <w:rFonts w:ascii="Tw Cen MT" w:hAnsi="Tw Cen MT" w:cs="Arial"/>
          <w:bCs/>
          <w:sz w:val="22"/>
          <w:szCs w:val="24"/>
        </w:rPr>
      </w:pPr>
      <w:r>
        <w:rPr>
          <w:rFonts w:ascii="Tw Cen MT" w:hAnsi="Tw Cen MT" w:cs="Arial"/>
          <w:bCs/>
          <w:sz w:val="24"/>
          <w:szCs w:val="24"/>
        </w:rPr>
        <w:t xml:space="preserve"> </w:t>
      </w:r>
    </w:p>
    <w:p>
      <w:pPr>
        <w:pStyle w:val="11"/>
        <w:tabs>
          <w:tab w:val="left" w:pos="0"/>
        </w:tabs>
        <w:spacing w:after="60" w:line="276" w:lineRule="auto"/>
        <w:rPr>
          <w:rFonts w:ascii="Tw Cen MT" w:hAnsi="Tw Cen MT" w:cs="Segoe UI"/>
          <w:b/>
          <w:sz w:val="22"/>
          <w:szCs w:val="20"/>
        </w:rPr>
      </w:pPr>
      <w:r>
        <w:rPr>
          <w:rFonts w:ascii="Tw Cen MT" w:hAnsi="Tw Cen MT" w:cs="Arial"/>
          <w:b/>
          <w:bCs/>
          <w:sz w:val="24"/>
          <w:szCs w:val="24"/>
        </w:rPr>
        <w:t>II.5.2, 3 et 4</w:t>
      </w:r>
      <w:r>
        <w:rPr>
          <w:rFonts w:ascii="Tw Cen MT" w:hAnsi="Tw Cen MT" w:cs="Arial"/>
          <w:sz w:val="24"/>
          <w:szCs w:val="24"/>
        </w:rPr>
        <w:t xml:space="preserve"> </w:t>
      </w:r>
      <w:r>
        <w:rPr>
          <w:rFonts w:ascii="Tw Cen MT" w:hAnsi="Tw Cen MT" w:cs="Segoe UI"/>
          <w:b/>
          <w:color w:val="000000"/>
          <w:sz w:val="22"/>
          <w:szCs w:val="20"/>
        </w:rPr>
        <w:t>Fermes en bastaings de 3 x 15,</w:t>
      </w:r>
      <w:r>
        <w:rPr>
          <w:rFonts w:ascii="Tw Cen MT" w:hAnsi="Tw Cen MT" w:cs="Segoe UI"/>
          <w:b/>
          <w:sz w:val="22"/>
          <w:szCs w:val="20"/>
        </w:rPr>
        <w:t xml:space="preserve"> Pannes et lattes de rive de pignon et Planche de rive </w:t>
      </w:r>
    </w:p>
    <w:p>
      <w:pPr>
        <w:pStyle w:val="11"/>
        <w:numPr>
          <w:ilvl w:val="0"/>
          <w:numId w:val="76"/>
        </w:numPr>
        <w:tabs>
          <w:tab w:val="left" w:pos="0"/>
        </w:tabs>
        <w:suppressAutoHyphens/>
        <w:spacing w:after="60" w:line="276" w:lineRule="auto"/>
        <w:jc w:val="both"/>
        <w:rPr>
          <w:rFonts w:ascii="Tw Cen MT" w:hAnsi="Tw Cen MT" w:cs="Arial"/>
          <w:b/>
          <w:sz w:val="24"/>
          <w:szCs w:val="20"/>
        </w:rPr>
      </w:pPr>
      <w:r>
        <w:rPr>
          <w:rFonts w:ascii="Tw Cen MT" w:hAnsi="Tw Cen MT" w:cs="Arial"/>
          <w:b/>
          <w:sz w:val="24"/>
          <w:szCs w:val="20"/>
        </w:rPr>
        <w:t>2) Fermes</w:t>
      </w:r>
    </w:p>
    <w:p>
      <w:pPr>
        <w:pStyle w:val="11"/>
        <w:tabs>
          <w:tab w:val="left" w:pos="0"/>
        </w:tabs>
        <w:spacing w:after="60" w:line="276" w:lineRule="auto"/>
        <w:ind w:left="1275"/>
        <w:rPr>
          <w:rFonts w:ascii="Tw Cen MT" w:hAnsi="Tw Cen MT" w:cs="Arial"/>
          <w:sz w:val="24"/>
          <w:szCs w:val="20"/>
        </w:rPr>
      </w:pPr>
      <w:r>
        <w:rPr>
          <w:rFonts w:ascii="Tw Cen MT" w:hAnsi="Tw Cen MT" w:cs="Arial"/>
          <w:sz w:val="24"/>
          <w:szCs w:val="20"/>
        </w:rPr>
        <w:t>Les fermes seront exécutées avec des bastings en bois dur préalablement traités au zilamon ou tout autre produit soumis à la validation de l’Ingénieur du marché, de section 3x12 ou 3x20 suivant indication des plans.</w:t>
      </w:r>
    </w:p>
    <w:p>
      <w:pPr>
        <w:pStyle w:val="11"/>
        <w:tabs>
          <w:tab w:val="left" w:pos="0"/>
        </w:tabs>
        <w:spacing w:after="60" w:line="276" w:lineRule="auto"/>
        <w:ind w:left="1275"/>
        <w:rPr>
          <w:rFonts w:ascii="Tw Cen MT" w:hAnsi="Tw Cen MT" w:cs="Arial"/>
          <w:sz w:val="24"/>
          <w:szCs w:val="20"/>
        </w:rPr>
      </w:pPr>
      <w:r>
        <w:rPr>
          <w:rFonts w:ascii="Tw Cen MT" w:hAnsi="Tw Cen MT" w:cs="Arial"/>
          <w:sz w:val="24"/>
          <w:szCs w:val="20"/>
        </w:rPr>
        <w:t>L’entrait et l’arbalétrier seront doublés.</w:t>
      </w:r>
    </w:p>
    <w:p>
      <w:pPr>
        <w:pStyle w:val="11"/>
        <w:tabs>
          <w:tab w:val="left" w:pos="0"/>
        </w:tabs>
        <w:spacing w:after="60" w:line="276" w:lineRule="auto"/>
        <w:ind w:left="1275"/>
        <w:rPr>
          <w:rFonts w:ascii="Tw Cen MT" w:hAnsi="Tw Cen MT" w:cs="Arial"/>
          <w:sz w:val="24"/>
          <w:szCs w:val="20"/>
        </w:rPr>
      </w:pPr>
      <w:r>
        <w:rPr>
          <w:rFonts w:ascii="Tw Cen MT" w:hAnsi="Tw Cen MT" w:cs="Arial"/>
          <w:sz w:val="24"/>
          <w:szCs w:val="20"/>
        </w:rPr>
        <w:t>Ces fermes seront solidement ancrées dans la maçonnerie à l’aide des fers d’attente des poteaux.</w:t>
      </w:r>
    </w:p>
    <w:p>
      <w:pPr>
        <w:pStyle w:val="11"/>
        <w:numPr>
          <w:ilvl w:val="0"/>
          <w:numId w:val="76"/>
        </w:numPr>
        <w:tabs>
          <w:tab w:val="left" w:pos="0"/>
        </w:tabs>
        <w:suppressAutoHyphens/>
        <w:spacing w:after="60" w:line="276" w:lineRule="auto"/>
        <w:jc w:val="both"/>
        <w:rPr>
          <w:rFonts w:ascii="Tw Cen MT" w:hAnsi="Tw Cen MT" w:cs="Arial"/>
          <w:sz w:val="24"/>
          <w:szCs w:val="20"/>
        </w:rPr>
      </w:pPr>
      <w:r>
        <w:rPr>
          <w:rFonts w:ascii="Tw Cen MT" w:hAnsi="Tw Cen MT" w:cs="Arial"/>
          <w:sz w:val="24"/>
          <w:szCs w:val="20"/>
        </w:rPr>
        <w:t xml:space="preserve"> </w:t>
      </w:r>
      <w:r>
        <w:rPr>
          <w:rFonts w:ascii="Tw Cen MT" w:hAnsi="Tw Cen MT" w:cs="Arial"/>
          <w:b/>
          <w:sz w:val="24"/>
          <w:szCs w:val="20"/>
        </w:rPr>
        <w:t>3)</w:t>
      </w:r>
      <w:r>
        <w:rPr>
          <w:rFonts w:ascii="Tw Cen MT" w:hAnsi="Tw Cen MT" w:cs="Arial"/>
          <w:sz w:val="24"/>
          <w:szCs w:val="20"/>
        </w:rPr>
        <w:t xml:space="preserve"> </w:t>
      </w:r>
      <w:r>
        <w:rPr>
          <w:rFonts w:ascii="Tw Cen MT" w:hAnsi="Tw Cen MT" w:cs="Segoe UI"/>
          <w:b/>
          <w:sz w:val="22"/>
          <w:szCs w:val="20"/>
        </w:rPr>
        <w:t xml:space="preserve">Pannes </w:t>
      </w:r>
    </w:p>
    <w:p>
      <w:pPr>
        <w:pStyle w:val="11"/>
        <w:tabs>
          <w:tab w:val="left" w:pos="0"/>
        </w:tabs>
        <w:spacing w:after="60" w:line="276" w:lineRule="auto"/>
        <w:ind w:left="1275"/>
        <w:rPr>
          <w:rFonts w:ascii="Tw Cen MT" w:hAnsi="Tw Cen MT" w:cs="Arial"/>
          <w:sz w:val="24"/>
          <w:szCs w:val="20"/>
        </w:rPr>
      </w:pPr>
      <w:r>
        <w:rPr>
          <w:rFonts w:ascii="Tw Cen MT" w:hAnsi="Tw Cen MT" w:cs="Arial"/>
          <w:sz w:val="24"/>
          <w:szCs w:val="20"/>
        </w:rPr>
        <w:t>Elles seront en bois dur traité aux fongicide et insecticide agréés par l’ingénieur, section 5x8 ou 5x15 suivant indication des plans.</w:t>
      </w:r>
    </w:p>
    <w:p>
      <w:pPr>
        <w:pStyle w:val="11"/>
        <w:tabs>
          <w:tab w:val="left" w:pos="0"/>
        </w:tabs>
        <w:spacing w:after="60" w:line="276" w:lineRule="auto"/>
        <w:ind w:left="1275"/>
        <w:rPr>
          <w:rFonts w:ascii="Tw Cen MT" w:hAnsi="Tw Cen MT" w:cs="Arial"/>
          <w:sz w:val="24"/>
          <w:szCs w:val="20"/>
        </w:rPr>
      </w:pPr>
      <w:r>
        <w:rPr>
          <w:rFonts w:ascii="Tw Cen MT" w:hAnsi="Tw Cen MT" w:cs="Arial"/>
          <w:sz w:val="24"/>
          <w:szCs w:val="20"/>
        </w:rPr>
        <w:t>Sur les pignons et les murs de séparation, elles seront fixées avec des pattes de scellement en fer plat de 3x30x5200.</w:t>
      </w:r>
    </w:p>
    <w:p>
      <w:pPr>
        <w:pStyle w:val="11"/>
        <w:numPr>
          <w:ilvl w:val="0"/>
          <w:numId w:val="76"/>
        </w:numPr>
        <w:tabs>
          <w:tab w:val="left" w:pos="0"/>
        </w:tabs>
        <w:suppressAutoHyphens/>
        <w:spacing w:after="60" w:line="276" w:lineRule="auto"/>
        <w:jc w:val="both"/>
        <w:rPr>
          <w:rFonts w:ascii="Tw Cen MT" w:hAnsi="Tw Cen MT" w:cs="Arial"/>
          <w:b/>
          <w:sz w:val="24"/>
          <w:szCs w:val="20"/>
        </w:rPr>
      </w:pPr>
      <w:r>
        <w:rPr>
          <w:rFonts w:ascii="Tw Cen MT" w:hAnsi="Tw Cen MT" w:cs="Arial"/>
          <w:b/>
          <w:sz w:val="24"/>
          <w:szCs w:val="20"/>
        </w:rPr>
        <w:t>4) planches de rive : façade avant et arrière.</w:t>
      </w:r>
    </w:p>
    <w:p>
      <w:pPr>
        <w:pStyle w:val="11"/>
        <w:tabs>
          <w:tab w:val="left" w:pos="0"/>
        </w:tabs>
        <w:spacing w:after="60" w:line="276" w:lineRule="auto"/>
        <w:ind w:left="1275"/>
        <w:rPr>
          <w:rFonts w:ascii="Tw Cen MT" w:hAnsi="Tw Cen MT" w:cs="Arial"/>
          <w:sz w:val="24"/>
          <w:szCs w:val="20"/>
        </w:rPr>
      </w:pPr>
      <w:r>
        <w:rPr>
          <w:rFonts w:ascii="Tw Cen MT" w:hAnsi="Tw Cen MT" w:cs="Arial"/>
          <w:sz w:val="24"/>
          <w:szCs w:val="20"/>
        </w:rPr>
        <w:t>La planche de rive utilisée aura 40 cm de large et 03 cm d’épaisseur. Elle sera en bois dur et rabotée sur une face</w:t>
      </w:r>
    </w:p>
    <w:p>
      <w:pPr>
        <w:pStyle w:val="11"/>
        <w:tabs>
          <w:tab w:val="left" w:pos="0"/>
        </w:tabs>
        <w:spacing w:after="60" w:line="276" w:lineRule="auto"/>
        <w:ind w:left="1275"/>
        <w:rPr>
          <w:rFonts w:ascii="Tw Cen MT" w:hAnsi="Tw Cen MT" w:cs="Arial"/>
          <w:sz w:val="24"/>
          <w:szCs w:val="20"/>
        </w:rPr>
      </w:pPr>
      <w:r>
        <w:rPr>
          <w:rFonts w:ascii="Tw Cen MT" w:hAnsi="Tw Cen MT" w:cs="Segoe UI"/>
          <w:sz w:val="22"/>
          <w:szCs w:val="20"/>
        </w:rPr>
        <w:t>Les lattes de rive de pignon seront de section 4x8 reliant les pannes.</w:t>
      </w:r>
    </w:p>
    <w:p>
      <w:pPr>
        <w:pStyle w:val="11"/>
        <w:tabs>
          <w:tab w:val="left" w:pos="0"/>
        </w:tabs>
        <w:spacing w:after="60" w:line="276" w:lineRule="auto"/>
        <w:rPr>
          <w:rFonts w:ascii="Tw Cen MT" w:hAnsi="Tw Cen MT" w:cs="Arial"/>
          <w:bCs/>
          <w:sz w:val="12"/>
          <w:szCs w:val="24"/>
        </w:rPr>
      </w:pPr>
    </w:p>
    <w:p>
      <w:pPr>
        <w:pStyle w:val="11"/>
        <w:tabs>
          <w:tab w:val="left" w:pos="0"/>
        </w:tabs>
        <w:spacing w:after="0" w:line="276" w:lineRule="auto"/>
        <w:rPr>
          <w:rFonts w:ascii="Tw Cen MT" w:hAnsi="Tw Cen MT" w:cs="Arial"/>
          <w:sz w:val="24"/>
          <w:szCs w:val="24"/>
        </w:rPr>
      </w:pPr>
      <w:r>
        <w:rPr>
          <w:rFonts w:ascii="Tw Cen MT" w:hAnsi="Tw Cen MT" w:cs="Arial"/>
          <w:b/>
          <w:bCs/>
          <w:sz w:val="24"/>
          <w:szCs w:val="24"/>
        </w:rPr>
        <w:t xml:space="preserve">II.5.3. couverture </w:t>
      </w:r>
    </w:p>
    <w:p>
      <w:pPr>
        <w:pStyle w:val="11"/>
        <w:tabs>
          <w:tab w:val="left" w:pos="0"/>
        </w:tabs>
        <w:spacing w:after="0" w:line="276" w:lineRule="auto"/>
        <w:rPr>
          <w:rFonts w:ascii="Tw Cen MT" w:hAnsi="Tw Cen MT" w:cs="Arial"/>
          <w:sz w:val="24"/>
          <w:szCs w:val="24"/>
        </w:rPr>
      </w:pPr>
      <w:r>
        <w:rPr>
          <w:rFonts w:ascii="Tw Cen MT" w:hAnsi="Tw Cen MT" w:cs="Arial"/>
          <w:sz w:val="24"/>
          <w:szCs w:val="24"/>
        </w:rPr>
        <w:t xml:space="preserve">           </w:t>
      </w:r>
    </w:p>
    <w:p>
      <w:pPr>
        <w:pStyle w:val="11"/>
        <w:tabs>
          <w:tab w:val="left" w:pos="0"/>
        </w:tabs>
        <w:spacing w:after="0" w:line="276" w:lineRule="auto"/>
        <w:rPr>
          <w:rFonts w:ascii="Tw Cen MT" w:hAnsi="Tw Cen MT" w:cs="Arial"/>
          <w:sz w:val="24"/>
          <w:szCs w:val="24"/>
        </w:rPr>
      </w:pPr>
      <w:r>
        <w:rPr>
          <w:rFonts w:ascii="Tw Cen MT" w:hAnsi="Tw Cen MT" w:cs="Arial"/>
          <w:sz w:val="24"/>
          <w:szCs w:val="24"/>
        </w:rPr>
        <w:t xml:space="preserve">La couverture sera réalisée en </w:t>
      </w:r>
      <w:r>
        <w:rPr>
          <w:rFonts w:ascii="Tw Cen MT" w:hAnsi="Tw Cen MT" w:cs="Segoe UI"/>
          <w:b/>
          <w:sz w:val="24"/>
          <w:szCs w:val="20"/>
        </w:rPr>
        <w:t xml:space="preserve">Tôle bac </w:t>
      </w:r>
      <w:r>
        <w:rPr>
          <w:rFonts w:ascii="Tw Cen MT" w:hAnsi="Tw Cen MT" w:cs="Arial"/>
          <w:sz w:val="24"/>
          <w:szCs w:val="24"/>
        </w:rPr>
        <w:t>aluminium</w:t>
      </w:r>
      <w:r>
        <w:rPr>
          <w:rFonts w:ascii="Tw Cen MT" w:hAnsi="Tw Cen MT" w:cs="Segoe UI"/>
          <w:b/>
          <w:sz w:val="24"/>
          <w:szCs w:val="20"/>
        </w:rPr>
        <w:t xml:space="preserve"> 6/10e</w:t>
      </w:r>
      <w:r>
        <w:rPr>
          <w:rFonts w:ascii="Tw Cen MT" w:hAnsi="Tw Cen MT" w:cs="Arial"/>
          <w:sz w:val="24"/>
          <w:szCs w:val="24"/>
        </w:rPr>
        <w:t>, en une longueur de 6m, fixée sur les pannes par des tirefonds de 8 x 80 avec accessoires.</w:t>
      </w:r>
    </w:p>
    <w:p>
      <w:pPr>
        <w:pStyle w:val="11"/>
        <w:numPr>
          <w:ilvl w:val="0"/>
          <w:numId w:val="77"/>
        </w:numPr>
        <w:tabs>
          <w:tab w:val="left" w:pos="0"/>
        </w:tabs>
        <w:suppressAutoHyphens/>
        <w:spacing w:after="0" w:line="276" w:lineRule="auto"/>
        <w:jc w:val="both"/>
        <w:rPr>
          <w:rFonts w:ascii="Tw Cen MT" w:hAnsi="Tw Cen MT" w:cs="Arial"/>
          <w:sz w:val="24"/>
          <w:szCs w:val="24"/>
        </w:rPr>
      </w:pPr>
      <w:r>
        <w:rPr>
          <w:rFonts w:ascii="Tw Cen MT" w:hAnsi="Tw Cen MT" w:cs="Arial"/>
          <w:sz w:val="24"/>
          <w:szCs w:val="24"/>
        </w:rPr>
        <w:t>Le faitage sera relevé et couvert avec des tôles faitières ;</w:t>
      </w:r>
    </w:p>
    <w:p>
      <w:pPr>
        <w:pStyle w:val="11"/>
        <w:numPr>
          <w:ilvl w:val="0"/>
          <w:numId w:val="77"/>
        </w:numPr>
        <w:tabs>
          <w:tab w:val="left" w:pos="0"/>
        </w:tabs>
        <w:suppressAutoHyphens/>
        <w:spacing w:after="0" w:line="276" w:lineRule="auto"/>
        <w:jc w:val="both"/>
        <w:rPr>
          <w:rFonts w:ascii="Tw Cen MT" w:hAnsi="Tw Cen MT" w:cs="Arial"/>
          <w:sz w:val="24"/>
          <w:szCs w:val="24"/>
        </w:rPr>
      </w:pPr>
      <w:r>
        <w:rPr>
          <w:rFonts w:ascii="Tw Cen MT" w:hAnsi="Tw Cen MT" w:cs="Arial"/>
          <w:sz w:val="24"/>
          <w:szCs w:val="24"/>
        </w:rPr>
        <w:t>Les pignons recevront des rives en aluminium.</w:t>
      </w:r>
    </w:p>
    <w:p>
      <w:pPr>
        <w:pStyle w:val="11"/>
        <w:tabs>
          <w:tab w:val="left" w:pos="0"/>
        </w:tabs>
        <w:spacing w:after="0" w:line="276" w:lineRule="auto"/>
        <w:rPr>
          <w:rFonts w:ascii="Tw Cen MT" w:hAnsi="Tw Cen MT" w:cs="Arial"/>
          <w:sz w:val="24"/>
          <w:szCs w:val="24"/>
        </w:rPr>
      </w:pPr>
    </w:p>
    <w:p>
      <w:pPr>
        <w:pStyle w:val="11"/>
        <w:tabs>
          <w:tab w:val="left" w:pos="0"/>
        </w:tabs>
        <w:spacing w:after="0" w:line="276" w:lineRule="auto"/>
        <w:rPr>
          <w:rFonts w:ascii="Tw Cen MT" w:hAnsi="Tw Cen MT" w:cs="Segoe UI"/>
        </w:rPr>
      </w:pPr>
      <w:r>
        <w:rPr>
          <w:rFonts w:ascii="Tw Cen MT" w:hAnsi="Tw Cen MT" w:cs="Arial"/>
          <w:b/>
          <w:bCs/>
          <w:sz w:val="24"/>
          <w:szCs w:val="24"/>
        </w:rPr>
        <w:t>II.5.4.</w:t>
      </w:r>
      <w:r>
        <w:rPr>
          <w:rFonts w:ascii="Tw Cen MT" w:hAnsi="Tw Cen MT" w:cs="Segoe UI"/>
        </w:rPr>
        <w:t xml:space="preserve"> </w:t>
      </w:r>
      <w:r>
        <w:rPr>
          <w:rFonts w:ascii="Tw Cen MT" w:hAnsi="Tw Cen MT" w:cs="Segoe UI"/>
          <w:b/>
          <w:sz w:val="24"/>
        </w:rPr>
        <w:t>plafonds intérieur et extérieur</w:t>
      </w:r>
      <w:r>
        <w:rPr>
          <w:rFonts w:ascii="Tw Cen MT" w:hAnsi="Tw Cen MT" w:cs="Segoe UI"/>
          <w:sz w:val="24"/>
        </w:rPr>
        <w:t xml:space="preserve"> </w:t>
      </w:r>
    </w:p>
    <w:p>
      <w:pPr>
        <w:pStyle w:val="11"/>
        <w:tabs>
          <w:tab w:val="left" w:pos="0"/>
        </w:tabs>
        <w:spacing w:after="0" w:line="276" w:lineRule="auto"/>
        <w:rPr>
          <w:rFonts w:ascii="Tw Cen MT" w:hAnsi="Tw Cen MT" w:cs="Segoe UI"/>
        </w:rPr>
      </w:pPr>
    </w:p>
    <w:p>
      <w:pPr>
        <w:pStyle w:val="11"/>
        <w:numPr>
          <w:ilvl w:val="0"/>
          <w:numId w:val="78"/>
        </w:numPr>
        <w:tabs>
          <w:tab w:val="left" w:pos="0"/>
        </w:tabs>
        <w:suppressAutoHyphens/>
        <w:spacing w:line="276" w:lineRule="auto"/>
        <w:ind w:left="357" w:hanging="357"/>
        <w:jc w:val="both"/>
        <w:rPr>
          <w:rFonts w:ascii="Tw Cen MT" w:hAnsi="Tw Cen MT" w:cs="Arial"/>
          <w:b/>
          <w:bCs/>
          <w:sz w:val="24"/>
          <w:szCs w:val="24"/>
          <w:u w:val="single"/>
        </w:rPr>
      </w:pPr>
      <w:r>
        <w:rPr>
          <w:rFonts w:ascii="Tw Cen MT" w:hAnsi="Tw Cen MT" w:cs="Arial"/>
          <w:b/>
          <w:bCs/>
          <w:sz w:val="24"/>
          <w:szCs w:val="24"/>
          <w:u w:val="single"/>
        </w:rPr>
        <w:t>Solivage</w:t>
      </w:r>
      <w:r>
        <w:rPr>
          <w:rFonts w:ascii="Tw Cen MT" w:hAnsi="Tw Cen MT" w:cs="Arial"/>
          <w:b/>
          <w:bCs/>
          <w:sz w:val="24"/>
          <w:szCs w:val="24"/>
        </w:rPr>
        <w:t>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Il sera en bois dur traité au xylamon ou au carbonyle de section (4 x 80) cm. Les champs seront rabotés. </w:t>
      </w:r>
    </w:p>
    <w:p>
      <w:pPr>
        <w:pStyle w:val="11"/>
        <w:numPr>
          <w:ilvl w:val="0"/>
          <w:numId w:val="78"/>
        </w:numPr>
        <w:tabs>
          <w:tab w:val="left" w:pos="0"/>
        </w:tabs>
        <w:suppressAutoHyphens/>
        <w:spacing w:line="276" w:lineRule="auto"/>
        <w:ind w:left="357" w:hanging="357"/>
        <w:jc w:val="both"/>
        <w:rPr>
          <w:rFonts w:ascii="Tw Cen MT" w:hAnsi="Tw Cen MT" w:cs="Arial"/>
          <w:b/>
          <w:bCs/>
          <w:sz w:val="24"/>
          <w:szCs w:val="24"/>
          <w:u w:val="single"/>
          <w:lang w:val="en-US"/>
        </w:rPr>
      </w:pPr>
      <w:r>
        <w:rPr>
          <w:rFonts w:ascii="Tw Cen MT" w:hAnsi="Tw Cen MT" w:cs="Arial"/>
          <w:b/>
          <w:bCs/>
          <w:sz w:val="24"/>
          <w:szCs w:val="24"/>
          <w:u w:val="single"/>
        </w:rPr>
        <w:t>Habillage</w:t>
      </w:r>
      <w:r>
        <w:rPr>
          <w:rFonts w:ascii="Tw Cen MT" w:hAnsi="Tw Cen MT" w:cs="Arial"/>
          <w:b/>
          <w:bCs/>
          <w:sz w:val="24"/>
          <w:szCs w:val="24"/>
        </w:rPr>
        <w:t> </w:t>
      </w:r>
    </w:p>
    <w:p>
      <w:pPr>
        <w:pStyle w:val="11"/>
        <w:tabs>
          <w:tab w:val="left" w:pos="0"/>
        </w:tabs>
        <w:spacing w:line="276" w:lineRule="auto"/>
        <w:rPr>
          <w:rFonts w:ascii="Tw Cen MT" w:hAnsi="Tw Cen MT" w:cs="Arial"/>
          <w:bCs/>
          <w:sz w:val="24"/>
          <w:szCs w:val="24"/>
        </w:rPr>
      </w:pPr>
      <w:r>
        <w:rPr>
          <w:rFonts w:ascii="Tw Cen MT" w:hAnsi="Tw Cen MT" w:cs="Arial"/>
          <w:b/>
          <w:bCs/>
          <w:sz w:val="24"/>
          <w:szCs w:val="24"/>
        </w:rPr>
        <w:t>Intérieur</w:t>
      </w:r>
      <w:r>
        <w:rPr>
          <w:rFonts w:ascii="Tw Cen MT" w:hAnsi="Tw Cen MT" w:cs="Arial"/>
          <w:bCs/>
          <w:sz w:val="24"/>
          <w:szCs w:val="24"/>
        </w:rPr>
        <w:t> : Les panneaux de contreplaqué utilisés auront une épaisseur de 4 cm et des dimensions de (100 x 60) cm dans les pièces communes. Ils seront en bois d’«Ayous» ou d’«Okoumé »  en plaques de (60 x 120) cm.</w:t>
      </w:r>
    </w:p>
    <w:p>
      <w:pPr>
        <w:pStyle w:val="11"/>
        <w:tabs>
          <w:tab w:val="left" w:pos="0"/>
        </w:tabs>
        <w:spacing w:after="0" w:line="276" w:lineRule="auto"/>
        <w:rPr>
          <w:rFonts w:ascii="Tw Cen MT" w:hAnsi="Tw Cen MT" w:cs="Arial"/>
          <w:sz w:val="2"/>
          <w:szCs w:val="24"/>
        </w:rPr>
      </w:pPr>
    </w:p>
    <w:p>
      <w:pPr>
        <w:pStyle w:val="11"/>
        <w:tabs>
          <w:tab w:val="left" w:pos="0"/>
        </w:tabs>
        <w:spacing w:after="0" w:line="276" w:lineRule="auto"/>
        <w:rPr>
          <w:rFonts w:ascii="Tw Cen MT" w:hAnsi="Tw Cen MT" w:cs="Arial"/>
          <w:sz w:val="24"/>
          <w:szCs w:val="24"/>
        </w:rPr>
      </w:pPr>
      <w:r>
        <w:rPr>
          <w:rFonts w:ascii="Tw Cen MT" w:hAnsi="Tw Cen MT" w:cs="Arial"/>
          <w:b/>
          <w:sz w:val="24"/>
          <w:szCs w:val="24"/>
        </w:rPr>
        <w:t>Extérieur </w:t>
      </w:r>
      <w:r>
        <w:rPr>
          <w:rFonts w:ascii="Tw Cen MT" w:hAnsi="Tw Cen MT" w:cs="Arial"/>
          <w:sz w:val="24"/>
          <w:szCs w:val="24"/>
        </w:rPr>
        <w:t>: en tôles lisses alu.p</w:t>
      </w:r>
    </w:p>
    <w:p>
      <w:pPr>
        <w:pStyle w:val="11"/>
        <w:tabs>
          <w:tab w:val="left" w:pos="0"/>
        </w:tabs>
        <w:spacing w:after="0" w:line="276" w:lineRule="auto"/>
        <w:rPr>
          <w:rFonts w:ascii="Tw Cen MT" w:hAnsi="Tw Cen MT" w:cs="Arial"/>
          <w:sz w:val="24"/>
          <w:szCs w:val="24"/>
        </w:rPr>
      </w:pPr>
    </w:p>
    <w:p>
      <w:pPr>
        <w:pStyle w:val="11"/>
        <w:tabs>
          <w:tab w:val="left" w:pos="0"/>
        </w:tabs>
        <w:spacing w:line="276" w:lineRule="auto"/>
        <w:rPr>
          <w:rFonts w:ascii="Tw Cen MT" w:hAnsi="Tw Cen MT" w:cs="Arial"/>
          <w:bCs/>
          <w:sz w:val="24"/>
          <w:szCs w:val="24"/>
        </w:rPr>
      </w:pPr>
      <w:r>
        <w:rPr>
          <w:rFonts w:ascii="Tw Cen MT" w:hAnsi="Tw Cen MT" w:cs="Arial"/>
          <w:b/>
          <w:bCs/>
          <w:sz w:val="24"/>
          <w:szCs w:val="24"/>
          <w:u w:val="single"/>
        </w:rPr>
        <w:t>Note importante</w:t>
      </w:r>
      <w:r>
        <w:rPr>
          <w:rFonts w:ascii="Tw Cen MT" w:hAnsi="Tw Cen MT" w:cs="Arial"/>
          <w:bCs/>
          <w:sz w:val="24"/>
          <w:szCs w:val="24"/>
        </w:rPr>
        <w:t xml:space="preserve"> : </w:t>
      </w:r>
    </w:p>
    <w:p>
      <w:pPr>
        <w:pStyle w:val="11"/>
        <w:numPr>
          <w:ilvl w:val="0"/>
          <w:numId w:val="79"/>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Couvre joint périphérique tant à l’intérieur qu’à l’extérieur</w:t>
      </w:r>
    </w:p>
    <w:p>
      <w:pPr>
        <w:pStyle w:val="11"/>
        <w:numPr>
          <w:ilvl w:val="0"/>
          <w:numId w:val="79"/>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Trappe de visite dans les couloirs (60 x 60) cm.</w:t>
      </w:r>
    </w:p>
    <w:p>
      <w:pPr>
        <w:pStyle w:val="11"/>
        <w:numPr>
          <w:ilvl w:val="0"/>
          <w:numId w:val="79"/>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Trous de ventilation en tamis fait du grillage fin « anti moustique » dans le plafond extérieur de (60 x 60) cm</w:t>
      </w:r>
    </w:p>
    <w:p>
      <w:pPr>
        <w:pStyle w:val="11"/>
        <w:numPr>
          <w:ilvl w:val="0"/>
          <w:numId w:val="79"/>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Les lattes de contour délimiteront la périphérie du plafond.</w:t>
      </w:r>
    </w:p>
    <w:p>
      <w:pPr>
        <w:pStyle w:val="11"/>
        <w:tabs>
          <w:tab w:val="left" w:pos="0"/>
        </w:tabs>
        <w:spacing w:after="0" w:line="276" w:lineRule="auto"/>
        <w:rPr>
          <w:rFonts w:ascii="Tw Cen MT" w:hAnsi="Tw Cen MT" w:cs="Arial"/>
          <w:bCs/>
          <w:sz w:val="24"/>
          <w:szCs w:val="24"/>
        </w:rPr>
      </w:pPr>
    </w:p>
    <w:p>
      <w:pPr>
        <w:pStyle w:val="11"/>
        <w:tabs>
          <w:tab w:val="left" w:pos="0"/>
        </w:tabs>
        <w:rPr>
          <w:rFonts w:ascii="Tw Cen MT" w:hAnsi="Tw Cen MT" w:cs="Segoe UI"/>
          <w:sz w:val="24"/>
          <w:szCs w:val="24"/>
        </w:rPr>
      </w:pPr>
      <w:r>
        <w:rPr>
          <w:rFonts w:ascii="Tw Cen MT" w:hAnsi="Tw Cen MT" w:cs="Segoe UI"/>
          <w:b/>
          <w:sz w:val="24"/>
          <w:szCs w:val="24"/>
        </w:rPr>
        <w:t>II.6.</w:t>
      </w:r>
      <w:r>
        <w:rPr>
          <w:rFonts w:ascii="Tw Cen MT" w:hAnsi="Tw Cen MT" w:cs="Segoe UI"/>
          <w:b/>
          <w:bCs/>
          <w:sz w:val="24"/>
          <w:szCs w:val="24"/>
        </w:rPr>
        <w:t xml:space="preserve"> MENUISERIE METALLIQUE</w:t>
      </w:r>
      <w:r>
        <w:rPr>
          <w:rFonts w:ascii="Tw Cen MT" w:hAnsi="Tw Cen MT" w:cs="Segoe UI"/>
          <w:b/>
          <w:bCs/>
          <w:color w:val="FF0000"/>
          <w:sz w:val="24"/>
          <w:szCs w:val="24"/>
        </w:rPr>
        <w:t> </w:t>
      </w:r>
      <w:r>
        <w:rPr>
          <w:rFonts w:ascii="Tw Cen MT" w:hAnsi="Tw Cen MT" w:cs="Segoe UI"/>
          <w:b/>
          <w:bCs/>
          <w:sz w:val="24"/>
          <w:szCs w:val="24"/>
        </w:rPr>
        <w:t>ET BOIS</w:t>
      </w:r>
    </w:p>
    <w:p>
      <w:pPr>
        <w:keepNext/>
        <w:numPr>
          <w:ilvl w:val="2"/>
          <w:numId w:val="80"/>
        </w:numPr>
        <w:tabs>
          <w:tab w:val="left" w:pos="540"/>
        </w:tabs>
        <w:spacing w:after="120"/>
        <w:ind w:hanging="2160"/>
        <w:outlineLvl w:val="2"/>
        <w:rPr>
          <w:rFonts w:ascii="Tw Cen MT" w:hAnsi="Tw Cen MT"/>
          <w:b/>
          <w:bCs/>
        </w:rPr>
      </w:pPr>
      <w:r>
        <w:rPr>
          <w:rFonts w:ascii="Tw Cen MT" w:hAnsi="Tw Cen MT"/>
          <w:b/>
          <w:bCs/>
        </w:rPr>
        <w:t>Portes</w:t>
      </w:r>
    </w:p>
    <w:p>
      <w:pPr>
        <w:widowControl w:val="0"/>
        <w:spacing w:after="120"/>
        <w:ind w:firstLine="720"/>
        <w:jc w:val="both"/>
        <w:rPr>
          <w:rFonts w:ascii="Tw Cen MT" w:hAnsi="Tw Cen MT"/>
        </w:rPr>
      </w:pPr>
      <w:r>
        <w:rPr>
          <w:rFonts w:ascii="Tw Cen MT" w:hAnsi="Tw Cen MT"/>
        </w:rPr>
        <w:t>A un vantail   97 x220 :</w:t>
      </w:r>
    </w:p>
    <w:p>
      <w:pPr>
        <w:widowControl w:val="0"/>
        <w:numPr>
          <w:ilvl w:val="0"/>
          <w:numId w:val="74"/>
        </w:numPr>
        <w:spacing w:after="120"/>
        <w:ind w:left="357" w:hanging="357"/>
        <w:jc w:val="both"/>
        <w:rPr>
          <w:rFonts w:ascii="Tw Cen MT" w:hAnsi="Tw Cen MT"/>
        </w:rPr>
      </w:pPr>
      <w:r>
        <w:rPr>
          <w:rFonts w:ascii="Tw Cen MT" w:hAnsi="Tw Cen MT"/>
        </w:rPr>
        <w:t>Cadres : cadre de fixation en bois dur du pays ;</w:t>
      </w:r>
    </w:p>
    <w:p>
      <w:pPr>
        <w:widowControl w:val="0"/>
        <w:numPr>
          <w:ilvl w:val="0"/>
          <w:numId w:val="74"/>
        </w:numPr>
        <w:spacing w:after="120"/>
        <w:ind w:left="357" w:hanging="357"/>
        <w:jc w:val="both"/>
        <w:rPr>
          <w:rFonts w:ascii="Tw Cen MT" w:hAnsi="Tw Cen MT"/>
        </w:rPr>
      </w:pPr>
      <w:r>
        <w:rPr>
          <w:rFonts w:ascii="Tw Cen MT" w:hAnsi="Tw Cen MT"/>
        </w:rPr>
        <w:t>Battant : tube carré de 30 + tôle lisse de 10/10è doublée + 3 paumelles grilles de 100 + serrure à canon de caractéristiques précisées par l’Ingénieur du marché + 2 targettes+ support Cardenas à l’extérieur.</w:t>
      </w:r>
    </w:p>
    <w:p>
      <w:pPr>
        <w:widowControl w:val="0"/>
        <w:spacing w:after="120"/>
        <w:jc w:val="both"/>
        <w:rPr>
          <w:rFonts w:ascii="Tw Cen MT" w:hAnsi="Tw Cen MT"/>
        </w:rPr>
      </w:pPr>
      <w:r>
        <w:rPr>
          <w:rFonts w:ascii="Tw Cen MT" w:hAnsi="Tw Cen MT"/>
          <w:b/>
          <w:u w:val="single"/>
        </w:rPr>
        <w:t>N.B</w:t>
      </w:r>
      <w:r>
        <w:rPr>
          <w:rFonts w:ascii="Tw Cen MT" w:hAnsi="Tw Cen MT"/>
          <w:b/>
        </w:rPr>
        <w:t xml:space="preserve"> : </w:t>
      </w:r>
      <w:r>
        <w:rPr>
          <w:rFonts w:ascii="Tw Cen MT" w:hAnsi="Tw Cen MT"/>
        </w:rPr>
        <w:t>Toutes les menuiseries métalliques recevront une peinture antirouille avant la livraison au chantier.</w:t>
      </w:r>
    </w:p>
    <w:p>
      <w:pPr>
        <w:pStyle w:val="11"/>
        <w:tabs>
          <w:tab w:val="left" w:pos="0"/>
        </w:tabs>
        <w:spacing w:after="0" w:line="276" w:lineRule="auto"/>
        <w:rPr>
          <w:rFonts w:ascii="Tw Cen MT" w:hAnsi="Tw Cen MT" w:cs="Arial"/>
          <w:bCs/>
          <w:sz w:val="24"/>
          <w:szCs w:val="24"/>
        </w:rPr>
      </w:pPr>
    </w:p>
    <w:p>
      <w:pPr>
        <w:pStyle w:val="11"/>
        <w:tabs>
          <w:tab w:val="left" w:pos="0"/>
        </w:tabs>
        <w:rPr>
          <w:rFonts w:ascii="Tw Cen MT" w:hAnsi="Tw Cen MT" w:cs="Segoe UI"/>
          <w:b/>
          <w:sz w:val="8"/>
          <w:szCs w:val="20"/>
        </w:rPr>
      </w:pPr>
    </w:p>
    <w:p>
      <w:pPr>
        <w:pStyle w:val="11"/>
        <w:tabs>
          <w:tab w:val="left" w:pos="0"/>
        </w:tabs>
        <w:rPr>
          <w:rFonts w:ascii="Tw Cen MT" w:hAnsi="Tw Cen MT" w:cs="Segoe UI"/>
          <w:b/>
          <w:sz w:val="24"/>
          <w:szCs w:val="20"/>
        </w:rPr>
      </w:pPr>
      <w:r>
        <w:rPr>
          <w:rFonts w:ascii="Tw Cen MT" w:hAnsi="Tw Cen MT" w:cs="Segoe UI"/>
          <w:b/>
          <w:sz w:val="24"/>
          <w:szCs w:val="20"/>
        </w:rPr>
        <w:t>II .7. PLOMBERIE ET INSTALLATIONS SANITAIRES</w:t>
      </w:r>
    </w:p>
    <w:p>
      <w:pPr>
        <w:pStyle w:val="9"/>
        <w:spacing w:after="120"/>
        <w:rPr>
          <w:rFonts w:ascii="Tw Cen MT" w:hAnsi="Tw Cen MT"/>
          <w:i w:val="0"/>
          <w:sz w:val="6"/>
        </w:rPr>
      </w:pPr>
      <w:r>
        <w:rPr>
          <w:rFonts w:ascii="Tw Cen MT" w:hAnsi="Tw Cen MT"/>
        </w:rPr>
        <w:t xml:space="preserve">  </w:t>
      </w:r>
    </w:p>
    <w:p>
      <w:pPr>
        <w:pStyle w:val="9"/>
        <w:spacing w:after="120"/>
        <w:rPr>
          <w:rFonts w:ascii="Tw Cen MT" w:hAnsi="Tw Cen MT"/>
          <w:i w:val="0"/>
        </w:rPr>
      </w:pPr>
      <w:r>
        <w:rPr>
          <w:rFonts w:ascii="Tw Cen MT" w:hAnsi="Tw Cen MT"/>
        </w:rPr>
        <w:t xml:space="preserve"> </w:t>
      </w:r>
      <w:bookmarkStart w:id="175" w:name="_Toc387137193"/>
      <w:r>
        <w:rPr>
          <w:rFonts w:ascii="Tw Cen MT" w:hAnsi="Tw Cen MT"/>
          <w:b/>
        </w:rPr>
        <w:t>II.7.1</w:t>
      </w:r>
      <w:r>
        <w:rPr>
          <w:rFonts w:ascii="Tw Cen MT" w:hAnsi="Tw Cen MT"/>
        </w:rPr>
        <w:t xml:space="preserve"> </w:t>
      </w:r>
      <w:r>
        <w:rPr>
          <w:rFonts w:ascii="Tw Cen MT" w:hAnsi="Tw Cen MT"/>
          <w:b/>
        </w:rPr>
        <w:t>PLOMBERIE ET SANITAIRES : SPÉCIFICATIONS GÉNÉRALES</w:t>
      </w:r>
      <w:bookmarkEnd w:id="175"/>
    </w:p>
    <w:p>
      <w:pPr>
        <w:spacing w:after="120"/>
        <w:jc w:val="both"/>
        <w:rPr>
          <w:rFonts w:ascii="Tw Cen MT" w:hAnsi="Tw Cen MT"/>
        </w:rPr>
      </w:pPr>
      <w:r>
        <w:rPr>
          <w:rFonts w:ascii="Tw Cen MT" w:hAnsi="Tw Cen MT"/>
        </w:rPr>
        <w:t xml:space="preserve">Le présent cahier des clauses techniques particulières (CCTP) du présent chapitre a pour objet de rappeler à l’Entrepreneur, les dispositions à prendre pour se conformer aux textes de références, aux réglementations, à la législation en vigueur, aux limites de prestations entre les différents corps d’état à la qualité et à la présentation des matériels et matériaux entrant dans la construction, de leur mise en œuvre et des contraintes à observer qui tiennent compte d’un contexte d’ensemble. </w:t>
      </w:r>
    </w:p>
    <w:p>
      <w:pPr>
        <w:spacing w:after="120"/>
        <w:rPr>
          <w:rFonts w:ascii="Tw Cen MT" w:hAnsi="Tw Cen MT"/>
        </w:rPr>
      </w:pPr>
      <w:r>
        <w:rPr>
          <w:rFonts w:ascii="Tw Cen MT" w:hAnsi="Tw Cen MT"/>
        </w:rPr>
        <w:t xml:space="preserve">1.1.1 Textes de références </w:t>
      </w:r>
    </w:p>
    <w:p>
      <w:pPr>
        <w:spacing w:after="120"/>
        <w:jc w:val="both"/>
        <w:rPr>
          <w:rFonts w:ascii="Tw Cen MT" w:hAnsi="Tw Cen MT"/>
        </w:rPr>
      </w:pPr>
      <w:r>
        <w:rPr>
          <w:rFonts w:ascii="Tw Cen MT" w:hAnsi="Tw Cen MT"/>
        </w:rPr>
        <w:t xml:space="preserve">Pour la réalisation des installations, le Cocontractant devra se conformer aux lois, règlements et normes en vigueur au moment de l’exécution de ses travaux et, en particulier : </w:t>
      </w:r>
    </w:p>
    <w:p>
      <w:pPr>
        <w:spacing w:after="120"/>
        <w:rPr>
          <w:rFonts w:ascii="Tw Cen MT" w:hAnsi="Tw Cen MT"/>
        </w:rPr>
      </w:pPr>
      <w:r>
        <w:rPr>
          <w:rFonts w:ascii="Tw Cen MT" w:hAnsi="Tw Cen MT"/>
        </w:rPr>
        <w:t xml:space="preserve">- aux règlements de la compagnie distributrice des eaux ; </w:t>
      </w:r>
    </w:p>
    <w:p>
      <w:pPr>
        <w:spacing w:after="120"/>
        <w:rPr>
          <w:rFonts w:ascii="Tw Cen MT" w:hAnsi="Tw Cen MT"/>
        </w:rPr>
      </w:pPr>
      <w:r>
        <w:rPr>
          <w:rFonts w:ascii="Tw Cen MT" w:hAnsi="Tw Cen MT"/>
        </w:rPr>
        <w:t>- aux DTU relatifs aux installations de plomberie ;</w:t>
      </w:r>
    </w:p>
    <w:p>
      <w:pPr>
        <w:spacing w:after="120"/>
        <w:rPr>
          <w:rFonts w:ascii="Tw Cen MT" w:hAnsi="Tw Cen MT"/>
        </w:rPr>
      </w:pPr>
      <w:r>
        <w:rPr>
          <w:rFonts w:ascii="Tw Cen MT" w:hAnsi="Tw Cen MT"/>
        </w:rPr>
        <w:t xml:space="preserve">- aux DTU n° 60.1 et additifs ; </w:t>
      </w:r>
    </w:p>
    <w:p>
      <w:pPr>
        <w:spacing w:after="120"/>
        <w:rPr>
          <w:rFonts w:ascii="Tw Cen MT" w:hAnsi="Tw Cen MT"/>
        </w:rPr>
      </w:pPr>
      <w:r>
        <w:rPr>
          <w:rFonts w:ascii="Tw Cen MT" w:hAnsi="Tw Cen MT"/>
        </w:rPr>
        <w:t>- aux DTU n° 60.31 à 60.33 pour les canalisations en PVC ;</w:t>
      </w:r>
    </w:p>
    <w:p>
      <w:pPr>
        <w:spacing w:after="120"/>
        <w:rPr>
          <w:rFonts w:ascii="Tw Cen MT" w:hAnsi="Tw Cen MT"/>
        </w:rPr>
      </w:pPr>
      <w:r>
        <w:rPr>
          <w:rFonts w:ascii="Tw Cen MT" w:hAnsi="Tw Cen MT"/>
        </w:rPr>
        <w:t>- aux DTU 61.1 des installations de gaz ;</w:t>
      </w:r>
    </w:p>
    <w:p>
      <w:pPr>
        <w:spacing w:after="120"/>
        <w:jc w:val="both"/>
        <w:rPr>
          <w:rFonts w:ascii="Tw Cen MT" w:hAnsi="Tw Cen MT"/>
        </w:rPr>
      </w:pPr>
      <w:r>
        <w:rPr>
          <w:rFonts w:ascii="Tw Cen MT" w:hAnsi="Tw Cen MT"/>
        </w:rPr>
        <w:t xml:space="preserve">- aux DTU n° 60.41 cahiers des charges applicables aux travaux de canalisation en PVC : évacuation eaux usées ; </w:t>
      </w:r>
    </w:p>
    <w:p>
      <w:pPr>
        <w:spacing w:after="120"/>
        <w:rPr>
          <w:rFonts w:ascii="Tw Cen MT" w:hAnsi="Tw Cen MT"/>
        </w:rPr>
      </w:pPr>
      <w:r>
        <w:rPr>
          <w:rFonts w:ascii="Tw Cen MT" w:hAnsi="Tw Cen MT"/>
        </w:rPr>
        <w:t xml:space="preserve">- aux normes françaises NF P 41.201 à 204 travaux de plomberie ; </w:t>
      </w:r>
    </w:p>
    <w:p>
      <w:pPr>
        <w:spacing w:after="120"/>
        <w:rPr>
          <w:rFonts w:ascii="Tw Cen MT" w:hAnsi="Tw Cen MT"/>
        </w:rPr>
      </w:pPr>
      <w:r>
        <w:rPr>
          <w:rFonts w:ascii="Tw Cen MT" w:hAnsi="Tw Cen MT"/>
        </w:rPr>
        <w:t xml:space="preserve">- aux normes françaises NE S : Matériel de lutte contre l’incendie ; </w:t>
      </w:r>
    </w:p>
    <w:p>
      <w:pPr>
        <w:spacing w:after="120"/>
        <w:rPr>
          <w:rFonts w:ascii="Tw Cen MT" w:hAnsi="Tw Cen MT"/>
        </w:rPr>
      </w:pPr>
      <w:r>
        <w:rPr>
          <w:rFonts w:ascii="Tw Cen MT" w:hAnsi="Tw Cen MT"/>
        </w:rPr>
        <w:t xml:space="preserve">- a la norme NF C 73.220 : Chauffe-eau à accumulation électrique. </w:t>
      </w:r>
    </w:p>
    <w:p>
      <w:pPr>
        <w:spacing w:after="120"/>
        <w:ind w:firstLine="720"/>
        <w:jc w:val="both"/>
        <w:rPr>
          <w:rFonts w:ascii="Tw Cen MT" w:hAnsi="Tw Cen MT"/>
        </w:rPr>
      </w:pPr>
      <w:r>
        <w:rPr>
          <w:rFonts w:ascii="Tw Cen MT" w:hAnsi="Tw Cen MT"/>
        </w:rPr>
        <w:t xml:space="preserve">Les plus-values résultant des travaux supplémentaires pour la mise en conformité des installations avec les textes susvisés seraient obligatoirement à la charge de l’Entrepreneur. </w:t>
      </w:r>
    </w:p>
    <w:p>
      <w:pPr>
        <w:spacing w:after="120"/>
        <w:ind w:firstLine="720"/>
        <w:jc w:val="both"/>
        <w:rPr>
          <w:rFonts w:ascii="Tw Cen MT" w:hAnsi="Tw Cen MT"/>
        </w:rPr>
      </w:pPr>
      <w:r>
        <w:rPr>
          <w:rFonts w:ascii="Tw Cen MT" w:hAnsi="Tw Cen MT"/>
        </w:rPr>
        <w:t xml:space="preserve">Tous les appareils sont prévus complètement installés y compris toutes les fournitures, façons et accessoires, l’alimentation d’eau froide, d’eau chaude éventuelle et la vidange, raccordés aux canalisations correspondantes. </w:t>
      </w:r>
    </w:p>
    <w:p>
      <w:pPr>
        <w:spacing w:after="120"/>
        <w:ind w:firstLine="720"/>
        <w:jc w:val="both"/>
        <w:rPr>
          <w:rFonts w:ascii="Tw Cen MT" w:hAnsi="Tw Cen MT"/>
        </w:rPr>
      </w:pPr>
      <w:r>
        <w:rPr>
          <w:rFonts w:ascii="Tw Cen MT" w:hAnsi="Tw Cen MT"/>
        </w:rPr>
        <w:t xml:space="preserve">La robinetterie sera en laiton chromé ou non d’un diamètre correspondant aux orifices de puisage, sauf quand le descriptif demande explicitement un diamètre supérieur. Les appareils seront du choix B et devront posséder l’étiquette indiquant ce choix. Tout appareil ne possédant pas d’étiquette sera refusé. </w:t>
      </w:r>
    </w:p>
    <w:p>
      <w:pPr>
        <w:spacing w:after="120"/>
        <w:rPr>
          <w:rFonts w:ascii="Tw Cen MT" w:hAnsi="Tw Cen MT"/>
        </w:rPr>
      </w:pPr>
      <w:r>
        <w:rPr>
          <w:rFonts w:ascii="Tw Cen MT" w:hAnsi="Tw Cen MT"/>
        </w:rPr>
        <w:t xml:space="preserve">1.1.2   Rappel de la réglementation </w:t>
      </w:r>
    </w:p>
    <w:p>
      <w:pPr>
        <w:spacing w:after="120"/>
        <w:rPr>
          <w:rFonts w:ascii="Tw Cen MT" w:hAnsi="Tw Cen MT"/>
        </w:rPr>
      </w:pPr>
      <w:r>
        <w:rPr>
          <w:rFonts w:ascii="Tw Cen MT" w:hAnsi="Tw Cen MT"/>
        </w:rPr>
        <w:t xml:space="preserve">Les installations seront conformes aux normes et règlements en vigueur, en particulier : </w:t>
      </w:r>
    </w:p>
    <w:p>
      <w:pPr>
        <w:spacing w:after="120"/>
        <w:rPr>
          <w:rFonts w:ascii="Tw Cen MT" w:hAnsi="Tw Cen MT"/>
        </w:rPr>
      </w:pPr>
      <w:r>
        <w:rPr>
          <w:rFonts w:ascii="Tw Cen MT" w:hAnsi="Tw Cen MT"/>
        </w:rPr>
        <w:t xml:space="preserve">- 60-1 plomberies sanitaires et ses additifs n° 1, 2, 3, 4, et 5 ; </w:t>
      </w:r>
    </w:p>
    <w:p>
      <w:pPr>
        <w:spacing w:after="120"/>
        <w:rPr>
          <w:rFonts w:ascii="Tw Cen MT" w:hAnsi="Tw Cen MT"/>
        </w:rPr>
      </w:pPr>
      <w:r>
        <w:rPr>
          <w:rFonts w:ascii="Tw Cen MT" w:hAnsi="Tw Cen MT"/>
        </w:rPr>
        <w:t xml:space="preserve">- 60-31, 60-32, 60-33 travaux sur canalisations en chlorure de polyvinyle non plastifié (eau froide sous pression, descentes d’eaux pluviales) ; </w:t>
      </w:r>
    </w:p>
    <w:p>
      <w:pPr>
        <w:spacing w:after="120"/>
        <w:rPr>
          <w:rFonts w:ascii="Tw Cen MT" w:hAnsi="Tw Cen MT"/>
        </w:rPr>
      </w:pPr>
      <w:r>
        <w:rPr>
          <w:rFonts w:ascii="Tw Cen MT" w:hAnsi="Tw Cen MT"/>
        </w:rPr>
        <w:t xml:space="preserve">- 60-41 travaux de canalisations en PVC pour évacuation des eaux usées </w:t>
      </w:r>
    </w:p>
    <w:p>
      <w:pPr>
        <w:pStyle w:val="9"/>
        <w:spacing w:after="120"/>
        <w:rPr>
          <w:rFonts w:ascii="Tw Cen MT" w:hAnsi="Tw Cen MT"/>
          <w:i w:val="0"/>
        </w:rPr>
      </w:pPr>
      <w:bookmarkStart w:id="176" w:name="_Toc387137194"/>
      <w:r>
        <w:rPr>
          <w:rFonts w:ascii="Tw Cen MT" w:hAnsi="Tw Cen MT"/>
        </w:rPr>
        <w:t>1.2 ÉTENDUE DES TRAVAUX</w:t>
      </w:r>
      <w:bookmarkEnd w:id="176"/>
    </w:p>
    <w:p>
      <w:pPr>
        <w:spacing w:after="120"/>
        <w:rPr>
          <w:rFonts w:ascii="Tw Cen MT" w:hAnsi="Tw Cen MT"/>
        </w:rPr>
      </w:pPr>
      <w:r>
        <w:rPr>
          <w:rFonts w:ascii="Tw Cen MT" w:hAnsi="Tw Cen MT"/>
        </w:rPr>
        <w:t xml:space="preserve">1.2.1 Nature des travaux </w:t>
      </w:r>
    </w:p>
    <w:p>
      <w:pPr>
        <w:spacing w:after="120"/>
        <w:jc w:val="both"/>
        <w:rPr>
          <w:rFonts w:ascii="Tw Cen MT" w:hAnsi="Tw Cen MT"/>
        </w:rPr>
      </w:pPr>
      <w:r>
        <w:rPr>
          <w:rFonts w:ascii="Tw Cen MT" w:hAnsi="Tw Cen MT"/>
        </w:rPr>
        <w:t xml:space="preserve">Les prestations et les travaux afférents au chapitre comprennent d’une manière générale tous ceux découlant des règles de l’art et notamment ceux évoqués dans le présent CPT, ainsi que dans les DTU et autres documents généraux cités dans le marché. Ils incluent en particulier, sans que la liste qui suit soit limitative : </w:t>
      </w:r>
    </w:p>
    <w:p>
      <w:pPr>
        <w:spacing w:after="120"/>
        <w:rPr>
          <w:rFonts w:ascii="Tw Cen MT" w:hAnsi="Tw Cen MT"/>
        </w:rPr>
      </w:pPr>
      <w:r>
        <w:rPr>
          <w:rFonts w:ascii="Tw Cen MT" w:hAnsi="Tw Cen MT"/>
        </w:rPr>
        <w:t xml:space="preserve">- Les études de détails, les calculs et plans nécessaires à l’exécution du marché ; </w:t>
      </w:r>
    </w:p>
    <w:p>
      <w:pPr>
        <w:spacing w:after="120"/>
        <w:jc w:val="both"/>
        <w:rPr>
          <w:rFonts w:ascii="Tw Cen MT" w:hAnsi="Tw Cen MT"/>
        </w:rPr>
      </w:pPr>
      <w:r>
        <w:rPr>
          <w:rFonts w:ascii="Tw Cen MT" w:hAnsi="Tw Cen MT"/>
        </w:rPr>
        <w:t xml:space="preserve">- La fourniture et la mise en œuvre des canalisations d’eau froide sous pression et d’eaux usées, y compris les raccords, assemblages, organes de fixation, joints de démontage, trappes de visite, protections extérieures et intérieures ; </w:t>
      </w:r>
    </w:p>
    <w:p>
      <w:pPr>
        <w:spacing w:after="120"/>
        <w:jc w:val="both"/>
        <w:rPr>
          <w:rFonts w:ascii="Tw Cen MT" w:hAnsi="Tw Cen MT"/>
        </w:rPr>
      </w:pPr>
      <w:r>
        <w:rPr>
          <w:rFonts w:ascii="Tw Cen MT" w:hAnsi="Tw Cen MT"/>
        </w:rPr>
        <w:t xml:space="preserve">- La robinetterie et les appareils nécessaires à la bonne marche et à l’entretien des installations, tels qu’appareils anti-bélier, soupapes, purges, orifices de ringardages, clapets, robinets d’isolement ou de vidange des installations, conduite d’aération, siphons, regards, etc. </w:t>
      </w:r>
    </w:p>
    <w:p>
      <w:pPr>
        <w:spacing w:after="120"/>
        <w:jc w:val="both"/>
        <w:rPr>
          <w:rFonts w:ascii="Tw Cen MT" w:hAnsi="Tw Cen MT"/>
        </w:rPr>
      </w:pPr>
      <w:r>
        <w:rPr>
          <w:rFonts w:ascii="Tw Cen MT" w:hAnsi="Tw Cen MT"/>
        </w:rPr>
        <w:t xml:space="preserve">- Les appareils d’épuration des eaux usées avant raccordement au réseau extérieur d’assainissement : séparateurs de graisse ; </w:t>
      </w:r>
    </w:p>
    <w:p>
      <w:pPr>
        <w:spacing w:after="120"/>
        <w:rPr>
          <w:rFonts w:ascii="Tw Cen MT" w:hAnsi="Tw Cen MT"/>
        </w:rPr>
      </w:pPr>
      <w:r>
        <w:rPr>
          <w:rFonts w:ascii="Tw Cen MT" w:hAnsi="Tw Cen MT"/>
        </w:rPr>
        <w:t>- Les appareils sanitaires ;</w:t>
      </w:r>
    </w:p>
    <w:p>
      <w:pPr>
        <w:spacing w:after="120"/>
        <w:jc w:val="both"/>
        <w:rPr>
          <w:rFonts w:ascii="Tw Cen MT" w:hAnsi="Tw Cen MT"/>
        </w:rPr>
      </w:pPr>
      <w:r>
        <w:rPr>
          <w:rFonts w:ascii="Tw Cen MT" w:hAnsi="Tw Cen MT"/>
        </w:rPr>
        <w:t xml:space="preserve">- Les percements, encastrements, branchements, scellements, fourniture et pose de fourreaux à l’exception des percements dans les murs porteurs et dalles en béton armé ; </w:t>
      </w:r>
    </w:p>
    <w:p>
      <w:pPr>
        <w:spacing w:after="120"/>
        <w:rPr>
          <w:rFonts w:ascii="Tw Cen MT" w:hAnsi="Tw Cen MT"/>
        </w:rPr>
      </w:pPr>
      <w:r>
        <w:rPr>
          <w:rFonts w:ascii="Tw Cen MT" w:hAnsi="Tw Cen MT"/>
        </w:rPr>
        <w:t>- La fourniture et pose des trappes de visite nécessaires à l’exploitation et à l’entretien des installations ;</w:t>
      </w:r>
    </w:p>
    <w:p>
      <w:pPr>
        <w:spacing w:after="120"/>
        <w:rPr>
          <w:rFonts w:ascii="Tw Cen MT" w:hAnsi="Tw Cen MT"/>
        </w:rPr>
      </w:pPr>
      <w:r>
        <w:rPr>
          <w:rFonts w:ascii="Tw Cen MT" w:hAnsi="Tw Cen MT"/>
        </w:rPr>
        <w:t xml:space="preserve">- Le branchement provisoire pour l’alimentation en eau du chantier en cours de travaux et son entretien. </w:t>
      </w:r>
    </w:p>
    <w:p>
      <w:pPr>
        <w:spacing w:after="120"/>
        <w:jc w:val="both"/>
        <w:rPr>
          <w:rFonts w:ascii="Tw Cen MT" w:hAnsi="Tw Cen MT"/>
        </w:rPr>
      </w:pPr>
      <w:r>
        <w:rPr>
          <w:rFonts w:ascii="Tw Cen MT" w:hAnsi="Tw Cen MT"/>
        </w:rPr>
        <w:t xml:space="preserve">Il fournira et posera les descentes d’EU, et chutes d’E.V avec leurs canalisations de ventilation jusqu’à leurs attentes en terrasse ou en toiture, ainsi que leurs canalisations d’EP dans leurs parcours compris entre les attentes laissés par le chapitre VRD ou Gros œuvre. Sera également à sa charge. La fourniture des siphons de sol. Les siphons de sol situés aux niveaux supérieurs seront fournis et posés par le titulaire du présent chapitre. </w:t>
      </w:r>
      <w:r>
        <w:rPr>
          <w:rFonts w:ascii="Tw Cen MT" w:hAnsi="Tw Cen MT"/>
        </w:rPr>
        <w:br w:type="textWrapping"/>
      </w:r>
      <w:r>
        <w:rPr>
          <w:rFonts w:ascii="Tw Cen MT" w:hAnsi="Tw Cen MT"/>
        </w:rPr>
        <w:t xml:space="preserve">Le titulaire du présent chapitre devra en outre fournir au titulaire du chapitre gros œuvre les plans d’implantation de toutes les attentes aux niveaux des dalles et dallages avec désignation du diamètre et du débit à chaque attente. </w:t>
      </w:r>
    </w:p>
    <w:p>
      <w:pPr>
        <w:spacing w:after="120"/>
        <w:jc w:val="both"/>
        <w:rPr>
          <w:rFonts w:ascii="Tw Cen MT" w:hAnsi="Tw Cen MT"/>
        </w:rPr>
      </w:pPr>
      <w:r>
        <w:rPr>
          <w:rFonts w:ascii="Tw Cen MT" w:hAnsi="Tw Cen MT"/>
        </w:rPr>
        <w:t xml:space="preserve">Pour l’alimentation des bâtiments en eau-froide, le titulaire du présent chapitre se raccordera sur les attentes prévues à 1 m des bâtiments par le titulaire du chapitre VRD. Il devra les dispositifs de raccordement à ces attentes ainsi que l’équipement des dispositifs de comptage d’eau qui seront disposés dans des regards, niches ou gaines réalisés par l’Entrepreneur de Gros œuvre. Il appartient au titulaire du présent chapitre de fournir les plans côtés des regards, niches et gaines de comptage. </w:t>
      </w:r>
    </w:p>
    <w:p>
      <w:pPr>
        <w:spacing w:after="120"/>
        <w:rPr>
          <w:rFonts w:ascii="Tw Cen MT" w:hAnsi="Tw Cen MT"/>
        </w:rPr>
      </w:pPr>
      <w:r>
        <w:rPr>
          <w:rFonts w:ascii="Tw Cen MT" w:hAnsi="Tw Cen MT"/>
        </w:rPr>
        <w:t xml:space="preserve">1.2.2 Coordination des travaux - liaison avec les autres corps d’état </w:t>
      </w:r>
    </w:p>
    <w:p>
      <w:pPr>
        <w:spacing w:after="120"/>
        <w:jc w:val="both"/>
        <w:rPr>
          <w:rFonts w:ascii="Tw Cen MT" w:hAnsi="Tw Cen MT"/>
        </w:rPr>
      </w:pPr>
      <w:r>
        <w:rPr>
          <w:rFonts w:ascii="Tw Cen MT" w:hAnsi="Tw Cen MT"/>
        </w:rPr>
        <w:t xml:space="preserve">L’Entrepreneur est réputé avoir pris connaissance des documents d’appel d’offres afférents aux autres chapitres en rapport avec le sien, et avoir recueilli toute information complémentaire utile lui permettant d’apprécier les conditions d’exécution et les limites de ses travaux. Aucune réclamation ne sera par conséquent admise de sa part concernant les sujétions qu’il n’aurait pas prévues, sauf modification des conditions des marchés. </w:t>
      </w:r>
    </w:p>
    <w:p>
      <w:pPr>
        <w:spacing w:after="120"/>
        <w:rPr>
          <w:rFonts w:ascii="Tw Cen MT" w:hAnsi="Tw Cen MT"/>
        </w:rPr>
      </w:pPr>
      <w:r>
        <w:rPr>
          <w:rFonts w:ascii="Tw Cen MT" w:hAnsi="Tw Cen MT"/>
        </w:rPr>
        <w:t xml:space="preserve">L’Entrepreneur peut se mettre en rapport en temps voulu avec les entrepreneurs et autres corps d’état intéressés, pour assurer la comptabilité des dispositifs de ses installations avec celles des autres ouvrages. </w:t>
      </w:r>
    </w:p>
    <w:p>
      <w:pPr>
        <w:spacing w:after="120"/>
        <w:jc w:val="both"/>
        <w:rPr>
          <w:rFonts w:ascii="Tw Cen MT" w:hAnsi="Tw Cen MT"/>
        </w:rPr>
      </w:pPr>
      <w:r>
        <w:rPr>
          <w:rFonts w:ascii="Tw Cen MT" w:hAnsi="Tw Cen MT"/>
        </w:rPr>
        <w:t xml:space="preserve">Il assurera que les saignées, encastrements et percements nécessités par ses installations sont possibles sans nuire à la résistance des ouvrages. L’Entrepreneur veillera en liaison avec les entrepreneurs chargés d’autres canalisations (chauffage, climatisation, électricité) à ce que les distances entre leurs canalisations et les siennes soient compatibles avec la sécurité, le bon fonctionnement, la durabilité, l’entretien et la préparation de ces derniers. Il assurera de la comptabilité des peintures de l’entrepreneur du chapitre Peinture avec les matériaux et revêtements qu’il prévoit. Pour la canalisation d’évacuation, il est prévu qu’à l’intérieur des bâtiments, tous les réseaux d’évacuation enterrés soient fournis et posés par le titulaire du présent chapitre. </w:t>
      </w:r>
    </w:p>
    <w:p>
      <w:pPr>
        <w:spacing w:after="120"/>
        <w:jc w:val="both"/>
        <w:rPr>
          <w:rFonts w:ascii="Tw Cen MT" w:hAnsi="Tw Cen MT"/>
        </w:rPr>
      </w:pPr>
      <w:r>
        <w:rPr>
          <w:rFonts w:ascii="Tw Cen MT" w:hAnsi="Tw Cen MT"/>
        </w:rPr>
        <w:t xml:space="preserve">A l’extérieur des bâtiments, le titulaire du présent chapitre fournira et posera toutes les canalisations d’évacuation jusqu’aux regards extérieurs, ainsi que le raccordement des collecteurs sur les descentes EU et EV. </w:t>
      </w:r>
    </w:p>
    <w:p>
      <w:pPr>
        <w:spacing w:after="120"/>
        <w:jc w:val="both"/>
        <w:rPr>
          <w:rFonts w:ascii="Tw Cen MT" w:hAnsi="Tw Cen MT"/>
        </w:rPr>
      </w:pPr>
      <w:r>
        <w:rPr>
          <w:rFonts w:ascii="Tw Cen MT" w:hAnsi="Tw Cen MT"/>
        </w:rPr>
        <w:t xml:space="preserve">Il fournira et posera les descentes d’EU et chutes d’EV, avec leurs canalisations de ventilation jusqu’à leurs attentes en terrasse ou en toiture, ainsi que les descentes d’EP dans leurs parcours compris entre les chéneaux et leurs attentes laissés par le chapitre VRD ou Gros œuvre. Il fournira pour chaque diamètre en attente, les pièces nécessaires à ses propres raccordements quand elles devront être noyées dans les dalles et dallages. </w:t>
      </w:r>
    </w:p>
    <w:p>
      <w:pPr>
        <w:spacing w:after="120"/>
        <w:jc w:val="both"/>
        <w:rPr>
          <w:rFonts w:ascii="Tw Cen MT" w:hAnsi="Tw Cen MT"/>
        </w:rPr>
      </w:pPr>
      <w:r>
        <w:rPr>
          <w:rFonts w:ascii="Tw Cen MT" w:hAnsi="Tw Cen MT"/>
        </w:rPr>
        <w:t xml:space="preserve">Sera également à sa charge, la fourniture des siphons de sol Les siphons de sol situés aux niveaux supérieurs seront fournis et posés par le titulaire du présent chapitre. Le titulaire du présent chapitre devra en outre fournir au titulaire du chapitre du Gros œuvre les plans d’implantation de toutes les attentes aux niveaux des dalles et dallages avec désignation du diamètre et du débit à chaque attente. </w:t>
      </w:r>
    </w:p>
    <w:p>
      <w:pPr>
        <w:spacing w:after="120"/>
        <w:jc w:val="both"/>
        <w:rPr>
          <w:rFonts w:ascii="Tw Cen MT" w:hAnsi="Tw Cen MT"/>
        </w:rPr>
      </w:pPr>
      <w:r>
        <w:rPr>
          <w:rFonts w:ascii="Tw Cen MT" w:hAnsi="Tw Cen MT"/>
        </w:rPr>
        <w:t xml:space="preserve">Pour l’alimentation des bâtiments en eau froide, le titulaire du présent chapitre se raccordera sur les attentes prévues à 1 m des bâtiments par le titulaire du chapitre VRD. Il devra conformer les dispositifs de raccordement à ces attentes ainsi que l’équipement du dispositif de comptage d’eau qui seront disposés dans des regards, niches ou gaines réalisées par l’Entrepreneur du Gros œuvre. Il appartient au titulaire du présent chapitre de fournir les plans côtés des regards, niches ou gaines de comptage. </w:t>
      </w:r>
    </w:p>
    <w:p>
      <w:pPr>
        <w:pStyle w:val="9"/>
        <w:spacing w:after="120"/>
        <w:rPr>
          <w:rFonts w:ascii="Tw Cen MT" w:hAnsi="Tw Cen MT"/>
          <w:i w:val="0"/>
        </w:rPr>
      </w:pPr>
      <w:bookmarkStart w:id="177" w:name="_Toc387137195"/>
      <w:r>
        <w:rPr>
          <w:rFonts w:ascii="Tw Cen MT" w:hAnsi="Tw Cen MT"/>
        </w:rPr>
        <w:t>1.3   CONCEPTION DU PROJET - GARANTIES</w:t>
      </w:r>
      <w:bookmarkEnd w:id="177"/>
    </w:p>
    <w:p>
      <w:pPr>
        <w:spacing w:after="120"/>
        <w:rPr>
          <w:rFonts w:ascii="Tw Cen MT" w:hAnsi="Tw Cen MT"/>
        </w:rPr>
      </w:pPr>
      <w:r>
        <w:rPr>
          <w:rFonts w:ascii="Tw Cen MT" w:hAnsi="Tw Cen MT"/>
        </w:rPr>
        <w:t xml:space="preserve">1.3.1   Etude du projet </w:t>
      </w:r>
    </w:p>
    <w:p>
      <w:pPr>
        <w:spacing w:after="120"/>
        <w:jc w:val="both"/>
        <w:rPr>
          <w:rFonts w:ascii="Tw Cen MT" w:hAnsi="Tw Cen MT"/>
        </w:rPr>
      </w:pPr>
      <w:r>
        <w:rPr>
          <w:rFonts w:ascii="Tw Cen MT" w:hAnsi="Tw Cen MT"/>
        </w:rPr>
        <w:t xml:space="preserve">L’Entrepreneur doit, aux conditions du marché, réaliser une installation complète répondant parfaitement au service qu’on doit en attendre dans des conditions de sécurité, de confort et de durabilité convenable. </w:t>
      </w:r>
      <w:r>
        <w:rPr>
          <w:rFonts w:ascii="Tw Cen MT" w:hAnsi="Tw Cen MT"/>
        </w:rPr>
        <w:br w:type="textWrapping"/>
      </w:r>
      <w:r>
        <w:rPr>
          <w:rFonts w:ascii="Tw Cen MT" w:hAnsi="Tw Cen MT"/>
        </w:rPr>
        <w:t xml:space="preserve">L’Entrepreneur est tenu en conséquence de vérifier le projet figurant à l’appel d’offre, de le compléter dans toute la mesure nécessaire et de fournir tous les équipements voulus tels que les clapets de non-retour, anti-bélier, purge, robinets de vidange, siphons, conduites d’aération, etc., même si ces accessoires ne figurent pas explicitement dans les descriptions des ouvrages. Dans un délai de deux jours à dater de la notification de l’ordre de service de commencer les travaux, l’Entrepreneur devra soumettre au Maître d’œuvre en complétant des documents fournis dans son offre une note justificative et descriptive, les notes de calculs et les plans de détails et d’exécution concernant les ouvrages dont il a la charge qui seront conçus dans l’esprit ci-dessus. Cependant, les documents et renseignements nécessaires pour le début des travaux (réseaux sous dallages en particulier) devront être fournis pendant la période de préparation prévue au CPS. </w:t>
      </w:r>
    </w:p>
    <w:p>
      <w:pPr>
        <w:spacing w:after="120"/>
        <w:jc w:val="both"/>
        <w:rPr>
          <w:rFonts w:ascii="Tw Cen MT" w:hAnsi="Tw Cen MT"/>
        </w:rPr>
      </w:pPr>
      <w:r>
        <w:rPr>
          <w:rFonts w:ascii="Tw Cen MT" w:hAnsi="Tw Cen MT"/>
        </w:rPr>
        <w:t xml:space="preserve">Son dossier précisera : les matériaux proposés pour les tuyauteries, leurs revêtements, leur assemblage, la situation des tuyauteries, l’aération, les passages à réserver et percements à effectuer. Les types de robinetterie et les appareils sanitaires adoptés et leurs accessoires. </w:t>
      </w:r>
    </w:p>
    <w:p>
      <w:pPr>
        <w:spacing w:after="120"/>
        <w:rPr>
          <w:rFonts w:ascii="Tw Cen MT" w:hAnsi="Tw Cen MT"/>
        </w:rPr>
      </w:pPr>
      <w:r>
        <w:rPr>
          <w:rFonts w:ascii="Tw Cen MT" w:hAnsi="Tw Cen MT"/>
        </w:rPr>
        <w:t xml:space="preserve">Il fournira les catalogues de produits manufacturés. </w:t>
      </w:r>
    </w:p>
    <w:p>
      <w:pPr>
        <w:spacing w:after="120"/>
        <w:jc w:val="both"/>
        <w:rPr>
          <w:rFonts w:ascii="Tw Cen MT" w:hAnsi="Tw Cen MT"/>
        </w:rPr>
      </w:pPr>
      <w:r>
        <w:rPr>
          <w:rFonts w:ascii="Tw Cen MT" w:hAnsi="Tw Cen MT"/>
        </w:rPr>
        <w:t xml:space="preserve">Il justifiera les dispositions adoptées et fournira les notes de calculs montrant que les dimensionnements choisis permettent d’assurer les débits et fonctionnements recherchés et de résister aux conditions de service avec les coefficients de sécurité désirables. </w:t>
      </w:r>
    </w:p>
    <w:p>
      <w:pPr>
        <w:spacing w:after="120"/>
        <w:rPr>
          <w:rFonts w:ascii="Tw Cen MT" w:hAnsi="Tw Cen MT"/>
        </w:rPr>
      </w:pPr>
      <w:r>
        <w:rPr>
          <w:rFonts w:ascii="Tw Cen MT" w:hAnsi="Tw Cen MT"/>
        </w:rPr>
        <w:t xml:space="preserve">1.3.2   Règles d’établissement du projet </w:t>
      </w:r>
    </w:p>
    <w:p>
      <w:pPr>
        <w:spacing w:after="120"/>
        <w:ind w:left="709"/>
        <w:rPr>
          <w:rFonts w:ascii="Tw Cen MT" w:hAnsi="Tw Cen MT"/>
        </w:rPr>
      </w:pPr>
      <w:r>
        <w:rPr>
          <w:rFonts w:ascii="Tw Cen MT" w:hAnsi="Tw Cen MT"/>
        </w:rPr>
        <w:t xml:space="preserve">6.3.2.1 Canalisation d’eau sous pression </w:t>
      </w:r>
    </w:p>
    <w:p>
      <w:pPr>
        <w:spacing w:after="120"/>
        <w:rPr>
          <w:rFonts w:ascii="Tw Cen MT" w:hAnsi="Tw Cen MT"/>
        </w:rPr>
      </w:pPr>
      <w:r>
        <w:rPr>
          <w:rFonts w:ascii="Tw Cen MT" w:hAnsi="Tw Cen MT"/>
        </w:rPr>
        <w:t xml:space="preserve">Les études seront établies en tenant compte des conditions et principes suivants : </w:t>
      </w:r>
    </w:p>
    <w:p>
      <w:pPr>
        <w:spacing w:after="120"/>
        <w:rPr>
          <w:rFonts w:ascii="Tw Cen MT" w:hAnsi="Tw Cen MT"/>
        </w:rPr>
      </w:pPr>
      <w:r>
        <w:rPr>
          <w:rFonts w:ascii="Tw Cen MT" w:hAnsi="Tw Cen MT"/>
        </w:rPr>
        <w:t xml:space="preserve">- Vitesse maximale d’eau dans les canalisations pour les débits instantanés : </w:t>
      </w:r>
    </w:p>
    <w:p>
      <w:pPr>
        <w:spacing w:after="120"/>
        <w:ind w:left="709"/>
        <w:rPr>
          <w:rFonts w:ascii="Tw Cen MT" w:hAnsi="Tw Cen MT"/>
        </w:rPr>
      </w:pPr>
      <w:r>
        <w:rPr>
          <w:rFonts w:ascii="Tw Cen MT" w:hAnsi="Tw Cen MT"/>
        </w:rPr>
        <w:t xml:space="preserve">* 2m/s dans les collecteurs principaux horizontaux en sous-sol ou en vide sanitaire </w:t>
      </w:r>
    </w:p>
    <w:p>
      <w:pPr>
        <w:spacing w:after="120"/>
        <w:ind w:left="709"/>
        <w:rPr>
          <w:rFonts w:ascii="Tw Cen MT" w:hAnsi="Tw Cen MT"/>
        </w:rPr>
      </w:pPr>
      <w:r>
        <w:rPr>
          <w:rFonts w:ascii="Tw Cen MT" w:hAnsi="Tw Cen MT"/>
        </w:rPr>
        <w:t xml:space="preserve">*1,5 m/s dans les colonnes montantes </w:t>
      </w:r>
    </w:p>
    <w:p>
      <w:pPr>
        <w:spacing w:after="120"/>
        <w:ind w:left="709"/>
        <w:rPr>
          <w:rFonts w:ascii="Tw Cen MT" w:hAnsi="Tw Cen MT"/>
        </w:rPr>
      </w:pPr>
      <w:r>
        <w:rPr>
          <w:rFonts w:ascii="Tw Cen MT" w:hAnsi="Tw Cen MT"/>
        </w:rPr>
        <w:t xml:space="preserve">* 1 m/s pour les raccordements des appareils 1 </w:t>
      </w:r>
    </w:p>
    <w:p>
      <w:pPr>
        <w:spacing w:after="120"/>
        <w:rPr>
          <w:rFonts w:ascii="Tw Cen MT" w:hAnsi="Tw Cen MT"/>
        </w:rPr>
      </w:pPr>
      <w:r>
        <w:rPr>
          <w:rFonts w:ascii="Tw Cen MT" w:hAnsi="Tw Cen MT"/>
        </w:rPr>
        <w:t xml:space="preserve">Coefficient de simultanéité pour le calcul des débits instantanés égal à </w:t>
      </w:r>
      <w:r>
        <w:rPr>
          <w:rFonts w:ascii="Tw Cen MT" w:hAnsi="Tw Cen MT"/>
          <w:position w:val="-28"/>
        </w:rPr>
        <w:object>
          <v:shape id="_x0000_i1025" o:spt="75" type="#_x0000_t75" style="height:33.7pt;width:61.0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ascii="Tw Cen MT" w:hAnsi="Tw Cen MT"/>
        </w:rPr>
        <w:t xml:space="preserve">  (X étant le nombre d’appareils desservis par la canalisation, avec une valeur minimale de y égale à 0,1) </w:t>
      </w:r>
    </w:p>
    <w:p>
      <w:pPr>
        <w:spacing w:after="120"/>
        <w:rPr>
          <w:rFonts w:ascii="Tw Cen MT" w:hAnsi="Tw Cen MT"/>
        </w:rPr>
      </w:pPr>
      <w:r>
        <w:rPr>
          <w:rFonts w:ascii="Tw Cen MT" w:hAnsi="Tw Cen MT"/>
        </w:rPr>
        <w:t xml:space="preserve">- Diamètre minimal des canalisations : l0 mm </w:t>
      </w:r>
    </w:p>
    <w:p>
      <w:pPr>
        <w:spacing w:after="120"/>
        <w:rPr>
          <w:rFonts w:ascii="Tw Cen MT" w:hAnsi="Tw Cen MT"/>
        </w:rPr>
      </w:pPr>
      <w:r>
        <w:rPr>
          <w:rFonts w:ascii="Tw Cen MT" w:hAnsi="Tw Cen MT"/>
        </w:rPr>
        <w:t xml:space="preserve">- Pression résiduelle minimale sur appareil le plus défavorisé : </w:t>
      </w:r>
    </w:p>
    <w:p>
      <w:pPr>
        <w:spacing w:after="120"/>
        <w:ind w:left="709"/>
        <w:rPr>
          <w:rFonts w:ascii="Tw Cen MT" w:hAnsi="Tw Cen MT"/>
        </w:rPr>
      </w:pPr>
      <w:r>
        <w:rPr>
          <w:rFonts w:ascii="Tw Cen MT" w:hAnsi="Tw Cen MT"/>
        </w:rPr>
        <w:t xml:space="preserve">* Sanitaires et robinets de puisage : 0,5 bar </w:t>
      </w:r>
    </w:p>
    <w:p>
      <w:pPr>
        <w:spacing w:after="120"/>
        <w:ind w:left="709"/>
        <w:rPr>
          <w:rFonts w:ascii="Tw Cen MT" w:hAnsi="Tw Cen MT"/>
        </w:rPr>
      </w:pPr>
      <w:r>
        <w:rPr>
          <w:rFonts w:ascii="Tw Cen MT" w:hAnsi="Tw Cen MT"/>
        </w:rPr>
        <w:t xml:space="preserve">1.3.2.2 Robinetterie et accessoires </w:t>
      </w:r>
    </w:p>
    <w:p>
      <w:pPr>
        <w:spacing w:after="120"/>
        <w:jc w:val="both"/>
        <w:rPr>
          <w:rFonts w:ascii="Tw Cen MT" w:hAnsi="Tw Cen MT"/>
        </w:rPr>
      </w:pPr>
      <w:r>
        <w:rPr>
          <w:rFonts w:ascii="Tw Cen MT" w:hAnsi="Tw Cen MT"/>
        </w:rPr>
        <w:t xml:space="preserve">- des robinets d’arrêt et de vidange seront disposés en pied de chaque colonne dans les locaux non privatifs </w:t>
      </w:r>
    </w:p>
    <w:p>
      <w:pPr>
        <w:spacing w:after="120"/>
        <w:rPr>
          <w:rFonts w:ascii="Tw Cen MT" w:hAnsi="Tw Cen MT"/>
        </w:rPr>
      </w:pPr>
      <w:r>
        <w:rPr>
          <w:rFonts w:ascii="Tw Cen MT" w:hAnsi="Tw Cen MT"/>
        </w:rPr>
        <w:t xml:space="preserve">- les branchements d’étage doivent être munis de robinets d’arrêt </w:t>
      </w:r>
    </w:p>
    <w:p>
      <w:pPr>
        <w:spacing w:after="120"/>
        <w:jc w:val="both"/>
        <w:rPr>
          <w:rFonts w:ascii="Tw Cen MT" w:hAnsi="Tw Cen MT"/>
        </w:rPr>
      </w:pPr>
      <w:r>
        <w:rPr>
          <w:rFonts w:ascii="Tw Cen MT" w:hAnsi="Tw Cen MT"/>
        </w:rPr>
        <w:t xml:space="preserve">- les colonnes verticales d’eau sous pression seront équipées de dispositifs anti-B: ‘er du type hydropneumatique. </w:t>
      </w:r>
    </w:p>
    <w:p>
      <w:pPr>
        <w:spacing w:after="120"/>
        <w:ind w:left="709"/>
        <w:rPr>
          <w:rFonts w:ascii="Tw Cen MT" w:hAnsi="Tw Cen MT"/>
        </w:rPr>
      </w:pPr>
      <w:r>
        <w:rPr>
          <w:rFonts w:ascii="Tw Cen MT" w:hAnsi="Tw Cen MT"/>
        </w:rPr>
        <w:t xml:space="preserve">1.3.2.3 Canalisations d’évacuation </w:t>
      </w:r>
    </w:p>
    <w:p>
      <w:pPr>
        <w:spacing w:after="120"/>
        <w:jc w:val="both"/>
        <w:rPr>
          <w:rFonts w:ascii="Tw Cen MT" w:hAnsi="Tw Cen MT"/>
        </w:rPr>
      </w:pPr>
      <w:r>
        <w:rPr>
          <w:rFonts w:ascii="Tw Cen MT" w:hAnsi="Tw Cen MT"/>
        </w:rPr>
        <w:t xml:space="preserve">- Canalisations horizontales d’évacuation dimensionnées pour assurer l’évacuation des débits normalisés pour un niveau d’écoulement à mi- diamètre pour les EU et EV. </w:t>
      </w:r>
    </w:p>
    <w:p>
      <w:pPr>
        <w:spacing w:after="120"/>
        <w:rPr>
          <w:rFonts w:ascii="Tw Cen MT" w:hAnsi="Tw Cen MT"/>
        </w:rPr>
      </w:pPr>
      <w:r>
        <w:rPr>
          <w:rFonts w:ascii="Tw Cen MT" w:hAnsi="Tw Cen MT"/>
        </w:rPr>
        <w:t xml:space="preserve">- Evacuations EP dimensionnées sur la base d’un débit de 6 I à la minute par m de surface en plan de toiture. </w:t>
      </w:r>
    </w:p>
    <w:p>
      <w:pPr>
        <w:spacing w:after="120"/>
        <w:rPr>
          <w:rFonts w:ascii="Tw Cen MT" w:hAnsi="Tw Cen MT"/>
        </w:rPr>
      </w:pPr>
      <w:r>
        <w:rPr>
          <w:rFonts w:ascii="Tw Cen MT" w:hAnsi="Tw Cen MT"/>
        </w:rPr>
        <w:t xml:space="preserve">1.3.3    Garanties </w:t>
      </w:r>
    </w:p>
    <w:p>
      <w:pPr>
        <w:spacing w:after="120"/>
        <w:rPr>
          <w:rFonts w:ascii="Tw Cen MT" w:hAnsi="Tw Cen MT"/>
          <w:b/>
        </w:rPr>
      </w:pPr>
      <w:r>
        <w:rPr>
          <w:rFonts w:ascii="Tw Cen MT" w:hAnsi="Tw Cen MT"/>
          <w:b/>
        </w:rPr>
        <w:t xml:space="preserve">Garanties générales de l’installation — délai de garantie </w:t>
      </w:r>
    </w:p>
    <w:p>
      <w:pPr>
        <w:spacing w:after="120"/>
        <w:jc w:val="both"/>
        <w:rPr>
          <w:rFonts w:ascii="Tw Cen MT" w:hAnsi="Tw Cen MT"/>
        </w:rPr>
      </w:pPr>
      <w:r>
        <w:rPr>
          <w:rFonts w:ascii="Tw Cen MT" w:hAnsi="Tw Cen MT"/>
        </w:rPr>
        <w:t xml:space="preserve">Durant un an à dater de la réception provisoire des installations, l’Entrepreneur garantit la bonne exécution de celles-ci selon les règles de l’art, il assure le bon fonctionnement et leur bonne exploitation. Il assure la réparation des défauts constatés et le gros entretien. </w:t>
      </w:r>
    </w:p>
    <w:p>
      <w:pPr>
        <w:spacing w:after="120"/>
        <w:rPr>
          <w:rFonts w:ascii="Tw Cen MT" w:hAnsi="Tw Cen MT"/>
          <w:b/>
        </w:rPr>
      </w:pPr>
      <w:r>
        <w:rPr>
          <w:rFonts w:ascii="Tw Cen MT" w:hAnsi="Tw Cen MT"/>
          <w:b/>
        </w:rPr>
        <w:t xml:space="preserve">Garantie décennale </w:t>
      </w:r>
    </w:p>
    <w:p>
      <w:pPr>
        <w:spacing w:after="120"/>
        <w:jc w:val="both"/>
        <w:rPr>
          <w:rFonts w:ascii="Tw Cen MT" w:hAnsi="Tw Cen MT"/>
        </w:rPr>
      </w:pPr>
      <w:r>
        <w:rPr>
          <w:rFonts w:ascii="Tw Cen MT" w:hAnsi="Tw Cen MT"/>
        </w:rPr>
        <w:t xml:space="preserve">La responsabilité de l’Entrepreneur est engagée pendant dix ans à dater de l’expiration du délai de garantie en ce qui concerne les portions de canalisations, de tuyauteries et de conduites de toutes sortes logées à l’intérieur des murs, plafonds ou planchers ou logées dans la masse de revêtements. </w:t>
      </w:r>
    </w:p>
    <w:p>
      <w:pPr>
        <w:spacing w:after="120"/>
        <w:jc w:val="both"/>
        <w:rPr>
          <w:rFonts w:ascii="Tw Cen MT" w:hAnsi="Tw Cen MT"/>
        </w:rPr>
      </w:pPr>
      <w:r>
        <w:rPr>
          <w:rFonts w:ascii="Tw Cen MT" w:hAnsi="Tw Cen MT"/>
        </w:rPr>
        <w:t xml:space="preserve">Il en devra la réparation et supportera la conséquence des dégradations que leurs défauts auraient causées. </w:t>
      </w:r>
    </w:p>
    <w:p>
      <w:pPr>
        <w:spacing w:after="120"/>
        <w:rPr>
          <w:rFonts w:ascii="Tw Cen MT" w:hAnsi="Tw Cen MT"/>
          <w:b/>
        </w:rPr>
      </w:pPr>
      <w:r>
        <w:rPr>
          <w:rFonts w:ascii="Tw Cen MT" w:hAnsi="Tw Cen MT"/>
          <w:b/>
        </w:rPr>
        <w:t xml:space="preserve">Garantie biennale </w:t>
      </w:r>
    </w:p>
    <w:p>
      <w:pPr>
        <w:spacing w:after="120"/>
        <w:jc w:val="both"/>
        <w:rPr>
          <w:rFonts w:ascii="Tw Cen MT" w:hAnsi="Tw Cen MT"/>
        </w:rPr>
      </w:pPr>
      <w:r>
        <w:rPr>
          <w:rFonts w:ascii="Tw Cen MT" w:hAnsi="Tw Cen MT"/>
        </w:rPr>
        <w:t xml:space="preserve">La responsabilité de l’Entrepreneur est engagée durant 2 ans à l’expiration de garantie précitée, pour les autres parties de tuyauterie, canalisations, gaines et installation, appareils et accessoires non incorporés au Gros œuvre, à l’exclusion des appareils mécaniques ou électriques que l’Entrepreneur auraient installés en l’état où ils lui sont livrés, sauf mise en jeu des garanties qu’ils auraient obtenues des fabricants de ces appareils au-delà du délai de garantie. En particulier, la canalisation ne devra présenter durant cette période aucune trace de corrosion du tube témoin. </w:t>
      </w:r>
    </w:p>
    <w:p>
      <w:pPr>
        <w:pStyle w:val="9"/>
        <w:spacing w:after="120"/>
        <w:rPr>
          <w:rFonts w:ascii="Tw Cen MT" w:hAnsi="Tw Cen MT"/>
          <w:i w:val="0"/>
        </w:rPr>
      </w:pPr>
      <w:bookmarkStart w:id="178" w:name="_Toc387137196"/>
      <w:r>
        <w:rPr>
          <w:rFonts w:ascii="Tw Cen MT" w:hAnsi="Tw Cen MT"/>
        </w:rPr>
        <w:t xml:space="preserve">1.4    CARACTÉRISTIQUES ET QUALITE DES </w:t>
      </w:r>
      <w:bookmarkEnd w:id="178"/>
      <w:r>
        <w:rPr>
          <w:rFonts w:ascii="Tw Cen MT" w:hAnsi="Tw Cen MT"/>
        </w:rPr>
        <w:t>MATÉRIAUX</w:t>
      </w:r>
    </w:p>
    <w:p>
      <w:pPr>
        <w:spacing w:after="120"/>
        <w:rPr>
          <w:rFonts w:ascii="Tw Cen MT" w:hAnsi="Tw Cen MT"/>
        </w:rPr>
      </w:pPr>
      <w:r>
        <w:rPr>
          <w:rFonts w:ascii="Tw Cen MT" w:hAnsi="Tw Cen MT"/>
        </w:rPr>
        <w:t xml:space="preserve">1.4.1   Généralités </w:t>
      </w:r>
    </w:p>
    <w:p>
      <w:pPr>
        <w:spacing w:after="120"/>
        <w:jc w:val="both"/>
        <w:rPr>
          <w:rFonts w:ascii="Tw Cen MT" w:hAnsi="Tw Cen MT"/>
        </w:rPr>
      </w:pPr>
      <w:r>
        <w:rPr>
          <w:rFonts w:ascii="Tw Cen MT" w:hAnsi="Tw Cen MT"/>
        </w:rPr>
        <w:t xml:space="preserve">L’Entrepreneur indiquera dans son offre la provenance, caractéristiques et les qualités de tous les matériaux, appareils et produits qu’il compte utiliser. Ceux-ci resteront soumis à l’agrément du Maître d’Œuvre. Ils devront répondre aux prescriptions du marché, provenir de fabricants reconnus présentant toute garantie et avoir obtenu les agréments, avis techniques et labels de qualité voulus. A défaut, ces fournitures devront avoir fait et devront faire l’objet, aux frais de l’Entrepreneur, d’essais montrant qu’elles rentrent dans les normes, et figurent sur des certificats de référence portant sur des réalisations d’au moins les cinq dernières années prouvant qu’elles ont satisfait à des conditions de service analogues à celles du présent Marché. </w:t>
      </w:r>
    </w:p>
    <w:p>
      <w:pPr>
        <w:spacing w:after="120"/>
        <w:jc w:val="both"/>
        <w:rPr>
          <w:rFonts w:ascii="Tw Cen MT" w:hAnsi="Tw Cen MT"/>
        </w:rPr>
      </w:pPr>
      <w:r>
        <w:rPr>
          <w:rFonts w:ascii="Tw Cen MT" w:hAnsi="Tw Cen MT"/>
        </w:rPr>
        <w:t xml:space="preserve">L’Entrepreneur fournira à l’appui de ses demandes d’approbation au Maître d’œuvre les échantillons de tous les équipements sanitaires, robinetterie, vannes, etc. Ces échantillons seront repérés, étiquetés et conservés par le Maître d’œuvre, à titre de pièces témoins. </w:t>
      </w:r>
    </w:p>
    <w:p>
      <w:pPr>
        <w:spacing w:after="120"/>
        <w:rPr>
          <w:rFonts w:ascii="Tw Cen MT" w:hAnsi="Tw Cen MT"/>
        </w:rPr>
      </w:pPr>
      <w:r>
        <w:rPr>
          <w:rFonts w:ascii="Tw Cen MT" w:hAnsi="Tw Cen MT"/>
        </w:rPr>
        <w:t xml:space="preserve">Tout le matériel mis en œuvre devra être de première qualité. </w:t>
      </w:r>
    </w:p>
    <w:p>
      <w:pPr>
        <w:spacing w:after="120"/>
        <w:rPr>
          <w:rFonts w:ascii="Tw Cen MT" w:hAnsi="Tw Cen MT"/>
        </w:rPr>
      </w:pPr>
      <w:r>
        <w:rPr>
          <w:rFonts w:ascii="Tw Cen MT" w:hAnsi="Tw Cen MT"/>
        </w:rPr>
        <w:t xml:space="preserve">1.4.2 Tuyauteries </w:t>
      </w:r>
    </w:p>
    <w:p>
      <w:pPr>
        <w:spacing w:after="120"/>
        <w:ind w:left="709"/>
        <w:rPr>
          <w:rFonts w:ascii="Tw Cen MT" w:hAnsi="Tw Cen MT"/>
        </w:rPr>
      </w:pPr>
      <w:r>
        <w:rPr>
          <w:rFonts w:ascii="Tw Cen MT" w:hAnsi="Tw Cen MT"/>
        </w:rPr>
        <w:t xml:space="preserve">1.4.2.1 Canalisation en cuivre </w:t>
      </w:r>
    </w:p>
    <w:p>
      <w:pPr>
        <w:spacing w:after="120"/>
        <w:jc w:val="both"/>
        <w:rPr>
          <w:rFonts w:ascii="Tw Cen MT" w:hAnsi="Tw Cen MT"/>
        </w:rPr>
      </w:pPr>
      <w:r>
        <w:rPr>
          <w:rFonts w:ascii="Tw Cen MT" w:hAnsi="Tw Cen MT"/>
        </w:rPr>
        <w:t xml:space="preserve">Les canalisations seront réalisées par emploi de tubes en cuivre rouge écroui demi dur série standard pression de marche 10 bars conformes à la norme NF A51-120. Tubes étirés à froid sans soudure, épaisseur absolument régulière de 0,80 mm minimum et de surface intérieure bien lisse. </w:t>
      </w:r>
    </w:p>
    <w:p>
      <w:pPr>
        <w:spacing w:after="120"/>
        <w:rPr>
          <w:rFonts w:ascii="Tw Cen MT" w:hAnsi="Tw Cen MT"/>
        </w:rPr>
      </w:pPr>
      <w:r>
        <w:rPr>
          <w:rFonts w:ascii="Tw Cen MT" w:hAnsi="Tw Cen MT"/>
        </w:rPr>
        <w:t xml:space="preserve">Les tubes genre “SU DO” pourront être proposés. </w:t>
      </w:r>
    </w:p>
    <w:p>
      <w:pPr>
        <w:spacing w:after="120"/>
        <w:jc w:val="both"/>
        <w:rPr>
          <w:rFonts w:ascii="Tw Cen MT" w:hAnsi="Tw Cen MT"/>
        </w:rPr>
      </w:pPr>
      <w:r>
        <w:rPr>
          <w:rFonts w:ascii="Tw Cen MT" w:hAnsi="Tw Cen MT"/>
        </w:rPr>
        <w:t xml:space="preserve">En distribution d’eau chaude : le tube cuivre écroui sera assemblée par soudure capillaire. Ces tubes devront être protégés pour permettre la libre dilatation. </w:t>
      </w:r>
    </w:p>
    <w:p>
      <w:pPr>
        <w:spacing w:after="120"/>
        <w:rPr>
          <w:rFonts w:ascii="Tw Cen MT" w:hAnsi="Tw Cen MT"/>
        </w:rPr>
      </w:pPr>
      <w:r>
        <w:rPr>
          <w:rFonts w:ascii="Tw Cen MT" w:hAnsi="Tw Cen MT"/>
        </w:rPr>
        <w:t xml:space="preserve">Encastrement Les canalisations encastrées devront être en cuivre recuit et ne comporter aucune soudure dans les parties encastrées. </w:t>
      </w:r>
    </w:p>
    <w:p>
      <w:pPr>
        <w:spacing w:after="120"/>
        <w:ind w:left="709"/>
        <w:rPr>
          <w:rFonts w:ascii="Tw Cen MT" w:hAnsi="Tw Cen MT"/>
        </w:rPr>
      </w:pPr>
      <w:r>
        <w:rPr>
          <w:rFonts w:ascii="Tw Cen MT" w:hAnsi="Tw Cen MT"/>
        </w:rPr>
        <w:t xml:space="preserve">1.4.2.2 Canalisation en PVC </w:t>
      </w:r>
    </w:p>
    <w:p>
      <w:pPr>
        <w:spacing w:after="120"/>
        <w:jc w:val="both"/>
        <w:rPr>
          <w:rFonts w:ascii="Tw Cen MT" w:hAnsi="Tw Cen MT"/>
        </w:rPr>
      </w:pPr>
      <w:r>
        <w:rPr>
          <w:rFonts w:ascii="Tw Cen MT" w:hAnsi="Tw Cen MT"/>
        </w:rPr>
        <w:t xml:space="preserve">Pour la mise en œuvre de ce matériau, l’Entrepreneur devra se conformer aux prescriptions et recommandations définies par DTU n° 60-33, notamment en ce qui concerne le support, l’assemblage et les précautions nécessaires en rapport avec les efforts mécaniques et les effets de dilation.  Lorsque ces canalisations sont utilisées pour les chutes EU-EV, elles seront obligatoirement prolongées en ventilation primaire par un tube PVC de même diamètre que la chute ou ces tubes seront prolongés hors toiture et seront surmontés d’une lanterne de ventilation.  Les tuyauteries susceptibles d’évacuer des eaux chaudes seront réalisées en PVC sur chloré résistant sans déformation à une température minimale de 100°.  Les raccords seront réalisés en PVC moulé. </w:t>
      </w:r>
    </w:p>
    <w:p>
      <w:pPr>
        <w:spacing w:after="120"/>
        <w:rPr>
          <w:rFonts w:ascii="Tw Cen MT" w:hAnsi="Tw Cen MT"/>
        </w:rPr>
      </w:pPr>
      <w:r>
        <w:rPr>
          <w:rFonts w:ascii="Tw Cen MT" w:hAnsi="Tw Cen MT"/>
        </w:rPr>
        <w:t xml:space="preserve">L’emploi de pièces façonnées et soudées à partir de tubes est interdit, en particulier pour les siphons. </w:t>
      </w:r>
    </w:p>
    <w:p>
      <w:pPr>
        <w:spacing w:after="120"/>
        <w:ind w:left="709"/>
        <w:rPr>
          <w:rFonts w:ascii="Tw Cen MT" w:hAnsi="Tw Cen MT"/>
        </w:rPr>
      </w:pPr>
      <w:r>
        <w:rPr>
          <w:rFonts w:ascii="Tw Cen MT" w:hAnsi="Tw Cen MT"/>
        </w:rPr>
        <w:t xml:space="preserve">1.4.2.3 Raccords et pièces spéciales </w:t>
      </w:r>
    </w:p>
    <w:p>
      <w:pPr>
        <w:spacing w:after="120"/>
        <w:ind w:left="709"/>
        <w:rPr>
          <w:rFonts w:ascii="Tw Cen MT" w:hAnsi="Tw Cen MT"/>
        </w:rPr>
      </w:pPr>
    </w:p>
    <w:p>
      <w:pPr>
        <w:spacing w:after="120"/>
        <w:rPr>
          <w:rFonts w:ascii="Tw Cen MT" w:hAnsi="Tw Cen MT"/>
          <w:b/>
        </w:rPr>
      </w:pPr>
      <w:r>
        <w:rPr>
          <w:rFonts w:ascii="Tw Cen MT" w:hAnsi="Tw Cen MT"/>
          <w:b/>
        </w:rPr>
        <w:t xml:space="preserve">a - Tubes cuivre </w:t>
      </w:r>
    </w:p>
    <w:p>
      <w:pPr>
        <w:spacing w:after="120"/>
        <w:rPr>
          <w:rFonts w:ascii="Tw Cen MT" w:hAnsi="Tw Cen MT"/>
        </w:rPr>
      </w:pPr>
      <w:r>
        <w:rPr>
          <w:rFonts w:ascii="Tw Cen MT" w:hAnsi="Tw Cen MT"/>
        </w:rPr>
        <w:t xml:space="preserve">- Assemblages - par brasure à l’argent — raccords à souder par capillarité </w:t>
      </w:r>
    </w:p>
    <w:p>
      <w:pPr>
        <w:spacing w:after="120"/>
        <w:jc w:val="both"/>
        <w:rPr>
          <w:rFonts w:ascii="Tw Cen MT" w:hAnsi="Tw Cen MT"/>
        </w:rPr>
      </w:pPr>
      <w:r>
        <w:rPr>
          <w:rFonts w:ascii="Tw Cen MT" w:hAnsi="Tw Cen MT"/>
        </w:rPr>
        <w:t xml:space="preserve">Les raccords pour tubes cuivre seront en bronze et sablés qualité 2 UE6 suivant spécifications du 13 avril 1975 du centre technique des industries de la fonderie. Les raccords destinés à être soudés par capillarité ou braisés par capillarité seront calibrés et lisses. </w:t>
      </w:r>
    </w:p>
    <w:p>
      <w:pPr>
        <w:spacing w:after="120"/>
        <w:jc w:val="both"/>
        <w:rPr>
          <w:rFonts w:ascii="Tw Cen MT" w:hAnsi="Tw Cen MT"/>
        </w:rPr>
      </w:pPr>
      <w:r>
        <w:rPr>
          <w:rFonts w:ascii="Tw Cen MT" w:hAnsi="Tw Cen MT"/>
        </w:rPr>
        <w:t xml:space="preserve">Nota : Les tubes destinés à être soudés par capillarité devront être légèrement écrouis (X601) comme il est dit ci-dessus et avoir une section parfaitement circulaire. </w:t>
      </w:r>
    </w:p>
    <w:p>
      <w:pPr>
        <w:spacing w:after="120"/>
        <w:rPr>
          <w:rFonts w:ascii="Tw Cen MT" w:hAnsi="Tw Cen MT"/>
          <w:b/>
        </w:rPr>
      </w:pPr>
      <w:r>
        <w:rPr>
          <w:rFonts w:ascii="Tw Cen MT" w:hAnsi="Tw Cen MT"/>
          <w:b/>
        </w:rPr>
        <w:t xml:space="preserve">b - Jonction tubes cuivre et fer galvanisé </w:t>
      </w:r>
    </w:p>
    <w:p>
      <w:pPr>
        <w:spacing w:after="120"/>
        <w:rPr>
          <w:rFonts w:ascii="Tw Cen MT" w:hAnsi="Tw Cen MT"/>
        </w:rPr>
      </w:pPr>
      <w:r>
        <w:rPr>
          <w:rFonts w:ascii="Tw Cen MT" w:hAnsi="Tw Cen MT"/>
        </w:rPr>
        <w:t xml:space="preserve">Les tubes cuivre sont nécessairement en aval des tubes fer galvanisés. </w:t>
      </w:r>
    </w:p>
    <w:p>
      <w:pPr>
        <w:spacing w:after="120"/>
        <w:rPr>
          <w:rFonts w:ascii="Tw Cen MT" w:hAnsi="Tw Cen MT"/>
        </w:rPr>
      </w:pPr>
      <w:r>
        <w:rPr>
          <w:rFonts w:ascii="Tw Cen MT" w:hAnsi="Tw Cen MT"/>
        </w:rPr>
        <w:t xml:space="preserve">Raccords d’appareils. Cette jonction se fera par raccord démontable. </w:t>
      </w:r>
    </w:p>
    <w:p>
      <w:pPr>
        <w:spacing w:after="120"/>
        <w:rPr>
          <w:rFonts w:ascii="Tw Cen MT" w:hAnsi="Tw Cen MT"/>
          <w:b/>
        </w:rPr>
      </w:pPr>
      <w:r>
        <w:rPr>
          <w:rFonts w:ascii="Tw Cen MT" w:hAnsi="Tw Cen MT"/>
          <w:b/>
        </w:rPr>
        <w:t xml:space="preserve">c - Tuyaux PVC — EU — EV </w:t>
      </w:r>
    </w:p>
    <w:p>
      <w:pPr>
        <w:spacing w:after="120"/>
        <w:rPr>
          <w:rFonts w:ascii="Tw Cen MT" w:hAnsi="Tw Cen MT"/>
        </w:rPr>
      </w:pPr>
      <w:r>
        <w:rPr>
          <w:rFonts w:ascii="Tw Cen MT" w:hAnsi="Tw Cen MT"/>
        </w:rPr>
        <w:t xml:space="preserve">Raccords moulés en chlorure de polyvinyle. </w:t>
      </w:r>
    </w:p>
    <w:p>
      <w:pPr>
        <w:spacing w:after="120"/>
        <w:rPr>
          <w:rFonts w:ascii="Tw Cen MT" w:hAnsi="Tw Cen MT"/>
        </w:rPr>
      </w:pPr>
      <w:r>
        <w:rPr>
          <w:rFonts w:ascii="Tw Cen MT" w:hAnsi="Tw Cen MT"/>
        </w:rPr>
        <w:t xml:space="preserve">Les raccords sont conformes aux prescriptions des normes NFT 54-028, NFT 54-030, T 54-031, T 54- 032 de la couleur gris clair, ils doivent être titulaires de la marque de conformité NF —PF. </w:t>
      </w:r>
    </w:p>
    <w:p>
      <w:pPr>
        <w:spacing w:after="120"/>
        <w:rPr>
          <w:rFonts w:ascii="Tw Cen MT" w:hAnsi="Tw Cen MT"/>
        </w:rPr>
      </w:pPr>
      <w:r>
        <w:rPr>
          <w:rFonts w:ascii="Tw Cen MT" w:hAnsi="Tw Cen MT"/>
        </w:rPr>
        <w:t xml:space="preserve">Adhésifs. </w:t>
      </w:r>
    </w:p>
    <w:p>
      <w:pPr>
        <w:spacing w:after="120"/>
        <w:rPr>
          <w:rFonts w:ascii="Tw Cen MT" w:hAnsi="Tw Cen MT"/>
        </w:rPr>
      </w:pPr>
      <w:r>
        <w:rPr>
          <w:rFonts w:ascii="Tw Cen MT" w:hAnsi="Tw Cen MT"/>
        </w:rPr>
        <w:t xml:space="preserve">Ils sont de deux sortes : </w:t>
      </w:r>
    </w:p>
    <w:p>
      <w:pPr>
        <w:spacing w:after="120"/>
        <w:rPr>
          <w:rFonts w:ascii="Tw Cen MT" w:hAnsi="Tw Cen MT"/>
        </w:rPr>
      </w:pPr>
      <w:r>
        <w:rPr>
          <w:rFonts w:ascii="Tw Cen MT" w:hAnsi="Tw Cen MT"/>
        </w:rPr>
        <w:t xml:space="preserve">- Joint préformé pour assemblage simple, destiné à assurer l’étanchéité de l’assemblage, mais non le coulissement des éléments entre eux. </w:t>
      </w:r>
    </w:p>
    <w:p>
      <w:pPr>
        <w:spacing w:after="120"/>
        <w:rPr>
          <w:rFonts w:ascii="Tw Cen MT" w:hAnsi="Tw Cen MT"/>
        </w:rPr>
      </w:pPr>
      <w:r>
        <w:rPr>
          <w:rFonts w:ascii="Tw Cen MT" w:hAnsi="Tw Cen MT"/>
        </w:rPr>
        <w:t xml:space="preserve">- Joints préformé pour assemblage coulissant, destiné à assurer à la fois l’étanchéité de l’assemblage et les coulissements dus aux dilatations et retraits dans les assemblages. </w:t>
      </w:r>
    </w:p>
    <w:p>
      <w:pPr>
        <w:spacing w:after="120"/>
        <w:rPr>
          <w:rFonts w:ascii="Tw Cen MT" w:hAnsi="Tw Cen MT"/>
        </w:rPr>
      </w:pPr>
      <w:r>
        <w:rPr>
          <w:rFonts w:ascii="Tw Cen MT" w:hAnsi="Tw Cen MT"/>
        </w:rPr>
        <w:t xml:space="preserve">Les joints préformés sont en élastomère ou en caoutchouc. </w:t>
      </w:r>
    </w:p>
    <w:p>
      <w:pPr>
        <w:spacing w:after="120"/>
        <w:rPr>
          <w:rFonts w:ascii="Tw Cen MT" w:hAnsi="Tw Cen MT"/>
        </w:rPr>
      </w:pPr>
      <w:r>
        <w:rPr>
          <w:rFonts w:ascii="Tw Cen MT" w:hAnsi="Tw Cen MT"/>
        </w:rPr>
        <w:t xml:space="preserve">En l’absence de norme, se conformer aux instructions du fabricant. </w:t>
      </w:r>
    </w:p>
    <w:p>
      <w:pPr>
        <w:spacing w:after="120"/>
        <w:rPr>
          <w:rFonts w:ascii="Tw Cen MT" w:hAnsi="Tw Cen MT"/>
        </w:rPr>
      </w:pPr>
      <w:r>
        <w:rPr>
          <w:rFonts w:ascii="Tw Cen MT" w:hAnsi="Tw Cen MT"/>
        </w:rPr>
        <w:t xml:space="preserve">Fixation ou guidage </w:t>
      </w:r>
    </w:p>
    <w:p>
      <w:pPr>
        <w:spacing w:after="120"/>
        <w:rPr>
          <w:rFonts w:ascii="Tw Cen MT" w:hAnsi="Tw Cen MT"/>
        </w:rPr>
      </w:pPr>
      <w:r>
        <w:rPr>
          <w:rFonts w:ascii="Tw Cen MT" w:hAnsi="Tw Cen MT"/>
        </w:rPr>
        <w:t xml:space="preserve">- Colliers métalliques : à contrepartie démontable à large surface de contact. </w:t>
      </w:r>
    </w:p>
    <w:p>
      <w:pPr>
        <w:spacing w:after="120"/>
        <w:rPr>
          <w:rFonts w:ascii="Tw Cen MT" w:hAnsi="Tw Cen MT"/>
        </w:rPr>
      </w:pPr>
      <w:r>
        <w:rPr>
          <w:rFonts w:ascii="Tw Cen MT" w:hAnsi="Tw Cen MT"/>
        </w:rPr>
        <w:t xml:space="preserve">- Colliers en matière plastique : ils seront soit à contre partie </w:t>
      </w:r>
    </w:p>
    <w:p>
      <w:pPr>
        <w:spacing w:after="120"/>
        <w:rPr>
          <w:rFonts w:ascii="Tw Cen MT" w:hAnsi="Tw Cen MT"/>
        </w:rPr>
      </w:pPr>
      <w:r>
        <w:rPr>
          <w:rFonts w:ascii="Tw Cen MT" w:hAnsi="Tw Cen MT"/>
        </w:rPr>
        <w:t>La liaison entre la queue (ou patte) et l’embase du collier est réalisée par auto taraudage ou, de préférence, par l’intermédiaire d’une douille taraudée métallique noyée dans l’embase.</w:t>
      </w:r>
    </w:p>
    <w:p>
      <w:pPr>
        <w:spacing w:after="120"/>
        <w:rPr>
          <w:rFonts w:ascii="Tw Cen MT" w:hAnsi="Tw Cen MT"/>
        </w:rPr>
      </w:pPr>
      <w:r>
        <w:rPr>
          <w:rFonts w:ascii="Tw Cen MT" w:hAnsi="Tw Cen MT"/>
        </w:rPr>
        <w:t xml:space="preserve">1.4.3    Appareils sanitaires </w:t>
      </w:r>
    </w:p>
    <w:p>
      <w:pPr>
        <w:spacing w:after="120"/>
        <w:ind w:left="709"/>
        <w:rPr>
          <w:rFonts w:ascii="Tw Cen MT" w:hAnsi="Tw Cen MT"/>
        </w:rPr>
      </w:pPr>
      <w:r>
        <w:rPr>
          <w:rFonts w:ascii="Tw Cen MT" w:hAnsi="Tw Cen MT"/>
        </w:rPr>
        <w:t xml:space="preserve">1.4.3.1 Appareils </w:t>
      </w:r>
    </w:p>
    <w:p>
      <w:pPr>
        <w:spacing w:after="120"/>
        <w:jc w:val="both"/>
        <w:rPr>
          <w:rFonts w:ascii="Tw Cen MT" w:hAnsi="Tw Cen MT"/>
        </w:rPr>
      </w:pPr>
      <w:r>
        <w:rPr>
          <w:rFonts w:ascii="Tw Cen MT" w:hAnsi="Tw Cen MT"/>
        </w:rPr>
        <w:t xml:space="preserve">Les appareils sanitaires correspondront aux prescriptions des DTU et des normes françaises seront de choix A. ce choix devra correspondre aux critères du DTU n° 60. Leurs marques et types seront conformes aux indications du descriptif. Lorsque ce dernier impose des modèles déterminés, l’Entrepreneur aura la latitude de proposer en variante à la solution de base pour laquelle il doit obligatoirement soumissionner, des marques de remplacement. Il devra alors à l’appui de ses demandes, fournir tous les renseignements (caractéristiques, extraits de catalogue, dessins prospectus) et justifications (certificat d’homologation et d’essais) permettant de juger la qualité et l’aspect ainsi que l’incidence qu’aurait l’emploi des appareils sur le projet. Les appareils devront porter de façon indéniable les inscriptions attestant leur origine, leur marque, leur type et leur choix. </w:t>
      </w:r>
    </w:p>
    <w:p>
      <w:pPr>
        <w:spacing w:after="120"/>
        <w:rPr>
          <w:rFonts w:ascii="Tw Cen MT" w:hAnsi="Tw Cen MT"/>
        </w:rPr>
      </w:pPr>
      <w:r>
        <w:rPr>
          <w:rFonts w:ascii="Tw Cen MT" w:hAnsi="Tw Cen MT"/>
        </w:rPr>
        <w:t>En règle générale, la robinetterie devra répondre aux prescriptions du cahier des charges n°9 du syndicat général des industries mécaniques et transformations des métaux, 11 avenue Hoche PARIS 8ème, et aux normes françaises notamment :</w:t>
      </w:r>
    </w:p>
    <w:p>
      <w:pPr>
        <w:spacing w:after="120"/>
        <w:rPr>
          <w:rFonts w:ascii="Tw Cen MT" w:hAnsi="Tw Cen MT"/>
        </w:rPr>
      </w:pPr>
      <w:r>
        <w:rPr>
          <w:rFonts w:ascii="Tw Cen MT" w:hAnsi="Tw Cen MT"/>
        </w:rPr>
        <w:t xml:space="preserve">- Normes des raccords aux tuyauteries : NFE 29-51 1 à 29-554 </w:t>
      </w:r>
    </w:p>
    <w:p>
      <w:pPr>
        <w:spacing w:after="120"/>
        <w:jc w:val="both"/>
        <w:rPr>
          <w:rFonts w:ascii="Tw Cen MT" w:hAnsi="Tw Cen MT"/>
        </w:rPr>
      </w:pPr>
      <w:r>
        <w:rPr>
          <w:rFonts w:ascii="Tw Cen MT" w:hAnsi="Tw Cen MT"/>
        </w:rPr>
        <w:t xml:space="preserve">- Normes concernant les matériaux : bronze fondu : 2tJE6 ; Laiton fondu : 2 UZ33 ; Laiton de décollage : U Z40 (NFA 53-303) </w:t>
      </w:r>
    </w:p>
    <w:p>
      <w:pPr>
        <w:spacing w:after="120"/>
        <w:jc w:val="both"/>
        <w:rPr>
          <w:rFonts w:ascii="Tw Cen MT" w:hAnsi="Tw Cen MT"/>
        </w:rPr>
      </w:pPr>
      <w:r>
        <w:rPr>
          <w:rFonts w:ascii="Tw Cen MT" w:hAnsi="Tw Cen MT"/>
        </w:rPr>
        <w:t xml:space="preserve">- Normes concernant les filetages : Pas de gaz : NFE 03-004 ; Filet ronds NFE 03-003 Trapézoïdal : NFE 03-002 </w:t>
      </w:r>
    </w:p>
    <w:p>
      <w:pPr>
        <w:spacing w:after="120"/>
        <w:rPr>
          <w:rFonts w:ascii="Tw Cen MT" w:hAnsi="Tw Cen MT"/>
        </w:rPr>
      </w:pPr>
      <w:r>
        <w:rPr>
          <w:rFonts w:ascii="Tw Cen MT" w:hAnsi="Tw Cen MT"/>
        </w:rPr>
        <w:t xml:space="preserve">- Normes de fabrication : diamètres nominaux : NFE 29-001 ; sens de fermeture : NFE 29-003 </w:t>
      </w:r>
    </w:p>
    <w:p>
      <w:pPr>
        <w:spacing w:after="120"/>
        <w:jc w:val="both"/>
        <w:rPr>
          <w:rFonts w:ascii="Tw Cen MT" w:hAnsi="Tw Cen MT"/>
        </w:rPr>
      </w:pPr>
      <w:r>
        <w:rPr>
          <w:rFonts w:ascii="Tw Cen MT" w:hAnsi="Tw Cen MT"/>
        </w:rPr>
        <w:t xml:space="preserve">- Normes de formes et dimensions des robinets à soupape, d’arrêt et de puisage ensemble robinetterie de bâtiment NFE 29-140 à 29-149 </w:t>
      </w:r>
    </w:p>
    <w:p>
      <w:pPr>
        <w:spacing w:after="120"/>
        <w:rPr>
          <w:rFonts w:ascii="Tw Cen MT" w:hAnsi="Tw Cen MT"/>
        </w:rPr>
      </w:pPr>
      <w:r>
        <w:rPr>
          <w:rFonts w:ascii="Tw Cen MT" w:hAnsi="Tw Cen MT"/>
        </w:rPr>
        <w:t xml:space="preserve">- Normes de protection : le nickelage et le chromage seront à la norme NFA 91-101 </w:t>
      </w:r>
    </w:p>
    <w:p>
      <w:pPr>
        <w:spacing w:after="120"/>
        <w:jc w:val="both"/>
        <w:rPr>
          <w:rFonts w:ascii="Tw Cen MT" w:hAnsi="Tw Cen MT"/>
        </w:rPr>
      </w:pPr>
      <w:r>
        <w:rPr>
          <w:rFonts w:ascii="Tw Cen MT" w:hAnsi="Tw Cen MT"/>
        </w:rPr>
        <w:t>- Agrément : tous les robinets devront porter de façon apparente la marque du fabricant, poinçonnée ou venue de fonderie. Toute la robinetterie sera revêtue de la marque de qualité S</w:t>
      </w:r>
    </w:p>
    <w:p>
      <w:pPr>
        <w:spacing w:after="120"/>
        <w:rPr>
          <w:rFonts w:ascii="Tw Cen MT" w:hAnsi="Tw Cen MT"/>
        </w:rPr>
      </w:pPr>
      <w:r>
        <w:rPr>
          <w:rFonts w:ascii="Tw Cen MT" w:hAnsi="Tw Cen MT"/>
        </w:rPr>
        <w:t xml:space="preserve">G-M ou équivalente. </w:t>
      </w:r>
    </w:p>
    <w:p>
      <w:pPr>
        <w:spacing w:after="120"/>
        <w:jc w:val="both"/>
        <w:rPr>
          <w:rFonts w:ascii="Tw Cen MT" w:hAnsi="Tw Cen MT"/>
        </w:rPr>
      </w:pPr>
      <w:r>
        <w:rPr>
          <w:rFonts w:ascii="Tw Cen MT" w:hAnsi="Tw Cen MT"/>
        </w:rPr>
        <w:t xml:space="preserve">La robinetterie doit être à la norme AFNOR x 08102 d’octobre 1969 qui définit les teintes conventionnelles permettant le repérage des fluides de laboratoire à savoir : </w:t>
      </w:r>
    </w:p>
    <w:tbl>
      <w:tblPr>
        <w:tblStyle w:val="22"/>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3"/>
        <w:gridCol w:w="1291"/>
        <w:gridCol w:w="3173"/>
      </w:tblGrid>
      <w:tr>
        <w:trPr>
          <w:trHeight w:val="267" w:hRule="atLeast"/>
          <w:jc w:val="center"/>
        </w:trPr>
        <w:tc>
          <w:tcPr>
            <w:tcW w:w="5894" w:type="dxa"/>
            <w:gridSpan w:val="2"/>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b/>
              </w:rPr>
            </w:pPr>
            <w:r>
              <w:rPr>
                <w:rFonts w:ascii="Tw Cen MT" w:hAnsi="Tw Cen MT"/>
                <w:b/>
              </w:rPr>
              <w:t xml:space="preserve">FLUIDES, VOLANTS ET EMBASE </w:t>
            </w:r>
          </w:p>
        </w:tc>
        <w:tc>
          <w:tcPr>
            <w:tcW w:w="3173"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b/>
              </w:rPr>
            </w:pPr>
            <w:r>
              <w:rPr>
                <w:rFonts w:ascii="Tw Cen MT" w:hAnsi="Tw Cen MT"/>
                <w:b/>
              </w:rPr>
              <w:t xml:space="preserve">PASTILLES DE VOLANTS </w:t>
            </w:r>
          </w:p>
        </w:tc>
      </w:tr>
      <w:tr>
        <w:trPr>
          <w:trHeight w:val="1098" w:hRule="atLeast"/>
          <w:jc w:val="center"/>
        </w:trPr>
        <w:tc>
          <w:tcPr>
            <w:tcW w:w="4603"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Eau potable FF Mélangeur EF</w:t>
            </w:r>
          </w:p>
          <w:p>
            <w:pPr>
              <w:spacing w:after="120"/>
              <w:rPr>
                <w:rFonts w:ascii="Tw Cen MT" w:hAnsi="Tw Cen MT"/>
              </w:rPr>
            </w:pPr>
            <w:r>
              <w:rPr>
                <w:rFonts w:ascii="Tw Cen MT" w:hAnsi="Tw Cen MT"/>
              </w:rPr>
              <w:t xml:space="preserve">EC Eau potable </w:t>
            </w:r>
          </w:p>
        </w:tc>
        <w:tc>
          <w:tcPr>
            <w:tcW w:w="1291"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Bleu </w:t>
            </w:r>
          </w:p>
          <w:p>
            <w:pPr>
              <w:spacing w:after="120"/>
              <w:rPr>
                <w:rFonts w:ascii="Tw Cen MT" w:hAnsi="Tw Cen MT"/>
              </w:rPr>
            </w:pPr>
            <w:r>
              <w:rPr>
                <w:rFonts w:ascii="Tw Cen MT" w:hAnsi="Tw Cen MT"/>
              </w:rPr>
              <w:t xml:space="preserve">Bleu </w:t>
            </w:r>
          </w:p>
          <w:p>
            <w:pPr>
              <w:spacing w:after="120"/>
              <w:rPr>
                <w:rFonts w:ascii="Tw Cen MT" w:hAnsi="Tw Cen MT"/>
              </w:rPr>
            </w:pPr>
            <w:r>
              <w:rPr>
                <w:rFonts w:ascii="Tw Cen MT" w:hAnsi="Tw Cen MT"/>
              </w:rPr>
              <w:t xml:space="preserve">Rouge </w:t>
            </w:r>
          </w:p>
          <w:p>
            <w:pPr>
              <w:spacing w:after="120"/>
              <w:rPr>
                <w:rFonts w:ascii="Tw Cen MT" w:hAnsi="Tw Cen MT"/>
              </w:rPr>
            </w:pPr>
            <w:r>
              <w:rPr>
                <w:rFonts w:ascii="Tw Cen MT" w:hAnsi="Tw Cen MT"/>
              </w:rPr>
              <w:t xml:space="preserve">Bleu  </w:t>
            </w:r>
          </w:p>
        </w:tc>
        <w:tc>
          <w:tcPr>
            <w:tcW w:w="3173"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Gris clair</w:t>
            </w:r>
          </w:p>
          <w:p>
            <w:pPr>
              <w:spacing w:after="120"/>
              <w:rPr>
                <w:rFonts w:ascii="Tw Cen MT" w:hAnsi="Tw Cen MT"/>
              </w:rPr>
            </w:pPr>
            <w:r>
              <w:rPr>
                <w:rFonts w:ascii="Tw Cen MT" w:hAnsi="Tw Cen MT"/>
              </w:rPr>
              <w:t xml:space="preserve">Violet </w:t>
            </w:r>
          </w:p>
          <w:p>
            <w:pPr>
              <w:spacing w:after="120"/>
              <w:rPr>
                <w:rFonts w:ascii="Tw Cen MT" w:hAnsi="Tw Cen MT"/>
              </w:rPr>
            </w:pPr>
            <w:r>
              <w:rPr>
                <w:rFonts w:ascii="Tw Cen MT" w:hAnsi="Tw Cen MT"/>
              </w:rPr>
              <w:t xml:space="preserve">Orange </w:t>
            </w:r>
          </w:p>
          <w:p>
            <w:pPr>
              <w:spacing w:after="120"/>
              <w:rPr>
                <w:rFonts w:ascii="Tw Cen MT" w:hAnsi="Tw Cen MT"/>
              </w:rPr>
            </w:pPr>
            <w:r>
              <w:rPr>
                <w:rFonts w:ascii="Tw Cen MT" w:hAnsi="Tw Cen MT"/>
              </w:rPr>
              <w:t xml:space="preserve">Noir </w:t>
            </w:r>
          </w:p>
        </w:tc>
      </w:tr>
    </w:tbl>
    <w:p>
      <w:pPr>
        <w:spacing w:after="120"/>
        <w:ind w:left="709"/>
        <w:rPr>
          <w:rFonts w:ascii="Tw Cen MT" w:hAnsi="Tw Cen MT"/>
        </w:rPr>
      </w:pPr>
      <w:r>
        <w:rPr>
          <w:rFonts w:ascii="Tw Cen MT" w:hAnsi="Tw Cen MT"/>
        </w:rPr>
        <w:t xml:space="preserve">1.4.3.3 Siphon </w:t>
      </w:r>
    </w:p>
    <w:p>
      <w:pPr>
        <w:spacing w:after="120"/>
        <w:rPr>
          <w:rFonts w:ascii="Tw Cen MT" w:hAnsi="Tw Cen MT"/>
        </w:rPr>
      </w:pPr>
      <w:r>
        <w:rPr>
          <w:rFonts w:ascii="Tw Cen MT" w:hAnsi="Tw Cen MT"/>
        </w:rPr>
        <w:t xml:space="preserve">Tous les siphons doivent avoir une garde d’eau de 50 mm minimum </w:t>
      </w:r>
    </w:p>
    <w:p>
      <w:pPr>
        <w:pStyle w:val="9"/>
        <w:spacing w:after="120"/>
        <w:rPr>
          <w:rFonts w:ascii="Tw Cen MT" w:hAnsi="Tw Cen MT"/>
          <w:i w:val="0"/>
        </w:rPr>
      </w:pPr>
      <w:bookmarkStart w:id="179" w:name="_Toc387137197"/>
      <w:r>
        <w:rPr>
          <w:rFonts w:ascii="Tw Cen MT" w:hAnsi="Tw Cen MT"/>
        </w:rPr>
        <w:t>1.5   MODE D’EXECUTION DES TRAVAUX</w:t>
      </w:r>
      <w:bookmarkEnd w:id="179"/>
    </w:p>
    <w:p>
      <w:pPr>
        <w:spacing w:after="120"/>
        <w:jc w:val="both"/>
        <w:rPr>
          <w:rFonts w:ascii="Tw Cen MT" w:hAnsi="Tw Cen MT"/>
        </w:rPr>
      </w:pPr>
      <w:r>
        <w:rPr>
          <w:rFonts w:ascii="Tw Cen MT" w:hAnsi="Tw Cen MT"/>
        </w:rPr>
        <w:t xml:space="preserve">Les travaux seront exécutés conformément aux prescriptions des DTU n° 60 et 61 et des normes NF P 41-20 1 0 41-204 concernant les conditions minima d’exécution des travaux de plomberie sanitaire. </w:t>
      </w:r>
    </w:p>
    <w:p>
      <w:pPr>
        <w:spacing w:after="120"/>
        <w:rPr>
          <w:rFonts w:ascii="Tw Cen MT" w:hAnsi="Tw Cen MT"/>
        </w:rPr>
      </w:pPr>
      <w:r>
        <w:rPr>
          <w:rFonts w:ascii="Tw Cen MT" w:hAnsi="Tw Cen MT"/>
        </w:rPr>
        <w:t xml:space="preserve">En particulier : </w:t>
      </w:r>
    </w:p>
    <w:p>
      <w:pPr>
        <w:spacing w:after="120"/>
        <w:rPr>
          <w:rFonts w:ascii="Tw Cen MT" w:hAnsi="Tw Cen MT"/>
        </w:rPr>
      </w:pPr>
      <w:r>
        <w:rPr>
          <w:rFonts w:ascii="Tw Cen MT" w:hAnsi="Tw Cen MT"/>
        </w:rPr>
        <w:t xml:space="preserve">- Toutes les canalisations seront nettoyées avant mise en œuvre ; </w:t>
      </w:r>
    </w:p>
    <w:p>
      <w:pPr>
        <w:spacing w:after="120"/>
        <w:rPr>
          <w:rFonts w:ascii="Tw Cen MT" w:hAnsi="Tw Cen MT"/>
        </w:rPr>
      </w:pPr>
      <w:r>
        <w:rPr>
          <w:rFonts w:ascii="Tw Cen MT" w:hAnsi="Tw Cen MT"/>
        </w:rPr>
        <w:t xml:space="preserve">- le cintrage à chaud des tubes galvanisés ; </w:t>
      </w:r>
    </w:p>
    <w:p>
      <w:pPr>
        <w:spacing w:after="120"/>
        <w:rPr>
          <w:rFonts w:ascii="Tw Cen MT" w:hAnsi="Tw Cen MT"/>
        </w:rPr>
      </w:pPr>
      <w:r>
        <w:rPr>
          <w:rFonts w:ascii="Tw Cen MT" w:hAnsi="Tw Cen MT"/>
        </w:rPr>
        <w:t xml:space="preserve">- l’assemblage des tubes en acier se fera par raccords vissés ; </w:t>
      </w:r>
    </w:p>
    <w:p>
      <w:pPr>
        <w:spacing w:after="120"/>
        <w:jc w:val="both"/>
        <w:rPr>
          <w:rFonts w:ascii="Tw Cen MT" w:hAnsi="Tw Cen MT"/>
        </w:rPr>
      </w:pPr>
      <w:r>
        <w:rPr>
          <w:rFonts w:ascii="Tw Cen MT" w:hAnsi="Tw Cen MT"/>
        </w:rPr>
        <w:t xml:space="preserve">- des pentes légères seront prévues dans les parties horizontales des canalisations (2 mm par m pour l’eau forcée, 2 cm par mètre pour l’eau usée) ; </w:t>
      </w:r>
    </w:p>
    <w:p>
      <w:pPr>
        <w:spacing w:after="120"/>
        <w:rPr>
          <w:rFonts w:ascii="Tw Cen MT" w:hAnsi="Tw Cen MT"/>
        </w:rPr>
      </w:pPr>
      <w:r>
        <w:rPr>
          <w:rFonts w:ascii="Tw Cen MT" w:hAnsi="Tw Cen MT"/>
        </w:rPr>
        <w:t xml:space="preserve">- les appareils sanitaires seront fixés par vis inoxydables et chevilles imputrescibles ; </w:t>
      </w:r>
    </w:p>
    <w:p>
      <w:pPr>
        <w:spacing w:after="120"/>
        <w:jc w:val="both"/>
        <w:rPr>
          <w:rFonts w:ascii="Tw Cen MT" w:hAnsi="Tw Cen MT"/>
        </w:rPr>
      </w:pPr>
      <w:r>
        <w:rPr>
          <w:rFonts w:ascii="Tw Cen MT" w:hAnsi="Tw Cen MT"/>
        </w:rPr>
        <w:t xml:space="preserve">- les joints de robinetterie sur céramiques seront en caoutchouc toilé - toutes les canalisations et raccords en acier ou fonte recevront une couche de minimum de plomb à charge du présent chapitre; les canalisations devront être suffisamment espacées des murs pour permettre leur peinture  le réseau de canalisation d’alimentation à eau sera désinfecté conformément aux termes de la circulaire du 15 mars 1962 du Ministère de la santé publique française, immédiatement avant la mise en service, à l’aide d’une solution de permanganate de potassium à 150g par m3 puis rincé énergiquement ; </w:t>
      </w:r>
    </w:p>
    <w:p>
      <w:pPr>
        <w:spacing w:after="120"/>
        <w:jc w:val="both"/>
        <w:rPr>
          <w:rFonts w:ascii="Tw Cen MT" w:hAnsi="Tw Cen MT"/>
        </w:rPr>
      </w:pPr>
      <w:r>
        <w:rPr>
          <w:rFonts w:ascii="Tw Cen MT" w:hAnsi="Tw Cen MT"/>
        </w:rPr>
        <w:t xml:space="preserve">- dans les traversés des murs et planchers, les canalisations à l’exception de la fonte doivent être protégée par des fourreaux. Ces fourreaux feront saillie de 0,5 cm au moins sur le parement d’un mur ou sous un plafond et de 3 cm au moins sur le niveau du revêtement de sol ; </w:t>
      </w:r>
    </w:p>
    <w:p>
      <w:pPr>
        <w:spacing w:after="120"/>
        <w:jc w:val="both"/>
        <w:rPr>
          <w:rFonts w:ascii="Tw Cen MT" w:hAnsi="Tw Cen MT"/>
        </w:rPr>
      </w:pPr>
      <w:r>
        <w:rPr>
          <w:rFonts w:ascii="Tw Cen MT" w:hAnsi="Tw Cen MT"/>
        </w:rPr>
        <w:t xml:space="preserve">- les canalisations posées dans les engravures (saignées) sont obligatoirement métalliques et protégées efficacement contre la corrosion. En particulier l’engravure des raccordements en PVC des évacuations des appareils sanitaires est interdite. - pour les canalisations d’eau avec pression, les assemblages noyés dans les gros œuvres sont interdits sauf par joints soudés ; </w:t>
      </w:r>
    </w:p>
    <w:p>
      <w:pPr>
        <w:spacing w:after="120"/>
        <w:rPr>
          <w:rFonts w:ascii="Tw Cen MT" w:hAnsi="Tw Cen MT"/>
        </w:rPr>
      </w:pPr>
      <w:r>
        <w:rPr>
          <w:rFonts w:ascii="Tw Cen MT" w:hAnsi="Tw Cen MT"/>
        </w:rPr>
        <w:t>- les canalisations en cuivre encastrées, enrobées ou engravées doivent comporter un gainage ;</w:t>
      </w:r>
    </w:p>
    <w:p>
      <w:pPr>
        <w:spacing w:after="120"/>
        <w:jc w:val="both"/>
        <w:rPr>
          <w:rFonts w:ascii="Tw Cen MT" w:hAnsi="Tw Cen MT"/>
        </w:rPr>
      </w:pPr>
      <w:r>
        <w:rPr>
          <w:rFonts w:ascii="Tw Cen MT" w:hAnsi="Tw Cen MT"/>
        </w:rPr>
        <w:t xml:space="preserve">- les canalisations en acier galvanisé enterrées seront obligatoirement protégées contre la corrosion par des bandes adhésives genres DENSO ; </w:t>
      </w:r>
    </w:p>
    <w:p>
      <w:pPr>
        <w:spacing w:after="120"/>
        <w:jc w:val="both"/>
        <w:rPr>
          <w:rFonts w:ascii="Tw Cen MT" w:hAnsi="Tw Cen MT"/>
        </w:rPr>
      </w:pPr>
      <w:r>
        <w:rPr>
          <w:rFonts w:ascii="Tw Cen MT" w:hAnsi="Tw Cen MT"/>
        </w:rPr>
        <w:t xml:space="preserve">- à l’origine d’une canalisation de distribution d’eau réalisée en tubes d’acier galvanisé, l’eau doit être traité pour éviter les effets de la corrosion si ses caractéristiques chimiques l’exigent (DTU 60-1 Additif n4 — chap. 3). Des tubes témoins démontables seront prévus à l’entrée de l’installation si aucun traitement d’eau n’est prévu et en aval de chaque appareil de traitement ; </w:t>
      </w:r>
    </w:p>
    <w:p>
      <w:pPr>
        <w:spacing w:after="120"/>
        <w:jc w:val="both"/>
        <w:rPr>
          <w:rFonts w:ascii="Tw Cen MT" w:hAnsi="Tw Cen MT"/>
        </w:rPr>
      </w:pPr>
      <w:r>
        <w:rPr>
          <w:rFonts w:ascii="Tw Cen MT" w:hAnsi="Tw Cen MT"/>
        </w:rPr>
        <w:t xml:space="preserve">- le façonnage en atelier de chantier des emboîtements des tubes PVC EU EP n’est autorisé que pour les diamètres inférieurs à 50 mm. Les façonnages et formages sur chantier sont interdits pour les tubes P’JC. Pour assemblages par coffrage des tubes PVC, es prescriptions des OT\J seront soigneusement respectées, en particulier : collage à l’abri de la pluie, chan freinage des extrémités rénales, dépolissage des surfaces en contact, nettoyage et dégraissage de ces surfaces, emboîtement à fond et sans mouvement de torsion de l’extrémité male dans emboîture ; </w:t>
      </w:r>
    </w:p>
    <w:p>
      <w:pPr>
        <w:spacing w:after="120"/>
        <w:rPr>
          <w:rFonts w:ascii="Tw Cen MT" w:hAnsi="Tw Cen MT"/>
        </w:rPr>
      </w:pPr>
      <w:r>
        <w:rPr>
          <w:rFonts w:ascii="Tw Cen MT" w:hAnsi="Tw Cen MT"/>
        </w:rPr>
        <w:t xml:space="preserve">- les coudes et les changements de direction des canalisations d’évacuation doivent être exécutés avec les coudes 1/8 ; </w:t>
      </w:r>
    </w:p>
    <w:p>
      <w:pPr>
        <w:spacing w:after="120"/>
        <w:rPr>
          <w:rFonts w:ascii="Tw Cen MT" w:hAnsi="Tw Cen MT"/>
        </w:rPr>
      </w:pPr>
      <w:r>
        <w:rPr>
          <w:rFonts w:ascii="Tw Cen MT" w:hAnsi="Tw Cen MT"/>
        </w:rPr>
        <w:t>- les branchements et dérivations d’évacuation devront se raccorder sur les tuyaux qui les reçoivent sous un angle qui ne sera jamais supérieur à 75’ les dispositions et réalisation des supports devront permettre la libre dilatation des matériaux.</w:t>
      </w:r>
    </w:p>
    <w:p>
      <w:pPr>
        <w:spacing w:after="120"/>
        <w:rPr>
          <w:rFonts w:ascii="Tw Cen MT" w:hAnsi="Tw Cen MT"/>
        </w:rPr>
      </w:pPr>
      <w:r>
        <w:rPr>
          <w:rFonts w:ascii="Tw Cen MT" w:hAnsi="Tw Cen MT"/>
        </w:rPr>
        <w:t xml:space="preserve">L’écartement maximal entre supports sera conforme suivant le type de canalisation aux tableaux ci- après : </w:t>
      </w:r>
    </w:p>
    <w:p>
      <w:pPr>
        <w:spacing w:after="120"/>
        <w:rPr>
          <w:rFonts w:ascii="Tw Cen MT" w:hAnsi="Tw Cen MT"/>
          <w:b/>
        </w:rPr>
      </w:pPr>
      <w:r>
        <w:rPr>
          <w:rFonts w:ascii="Tw Cen MT" w:hAnsi="Tw Cen MT"/>
          <w:b/>
        </w:rPr>
        <w:t xml:space="preserve">                                          TUBE PVC POTABLE AVEC PRESSION </w:t>
      </w:r>
    </w:p>
    <w:tbl>
      <w:tblPr>
        <w:tblStyle w:val="22"/>
        <w:tblW w:w="10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2966"/>
        <w:gridCol w:w="954"/>
        <w:gridCol w:w="1020"/>
        <w:gridCol w:w="923"/>
        <w:gridCol w:w="1135"/>
      </w:tblGrid>
      <w:tr>
        <w:trPr>
          <w:trHeight w:val="279" w:hRule="atLeast"/>
          <w:jc w:val="center"/>
        </w:trPr>
        <w:tc>
          <w:tcPr>
            <w:tcW w:w="6033" w:type="dxa"/>
            <w:gridSpan w:val="2"/>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Diamètre extrémité (mm) </w:t>
            </w:r>
          </w:p>
        </w:tc>
        <w:tc>
          <w:tcPr>
            <w:tcW w:w="954"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12 à 20</w:t>
            </w:r>
          </w:p>
        </w:tc>
        <w:tc>
          <w:tcPr>
            <w:tcW w:w="1020" w:type="dxa"/>
            <w:tcBorders>
              <w:top w:val="outset" w:color="auto" w:sz="6" w:space="0"/>
              <w:left w:val="outset" w:color="auto" w:sz="6" w:space="0"/>
              <w:bottom w:val="outset" w:color="auto" w:sz="6" w:space="0"/>
              <w:right w:val="single" w:color="auto" w:sz="4" w:space="0"/>
            </w:tcBorders>
          </w:tcPr>
          <w:p>
            <w:pPr>
              <w:spacing w:after="120"/>
              <w:jc w:val="center"/>
              <w:rPr>
                <w:rFonts w:ascii="Tw Cen MT" w:hAnsi="Tw Cen MT"/>
              </w:rPr>
            </w:pPr>
            <w:r>
              <w:rPr>
                <w:rFonts w:ascii="Tw Cen MT" w:hAnsi="Tw Cen MT"/>
              </w:rPr>
              <w:t>25 à 32</w:t>
            </w:r>
          </w:p>
        </w:tc>
        <w:tc>
          <w:tcPr>
            <w:tcW w:w="923" w:type="dxa"/>
            <w:tcBorders>
              <w:top w:val="outset" w:color="auto" w:sz="6" w:space="0"/>
              <w:left w:val="single" w:color="auto" w:sz="4" w:space="0"/>
              <w:bottom w:val="outset" w:color="auto" w:sz="6" w:space="0"/>
              <w:right w:val="single" w:color="auto" w:sz="4" w:space="0"/>
            </w:tcBorders>
          </w:tcPr>
          <w:p>
            <w:pPr>
              <w:spacing w:after="120"/>
              <w:jc w:val="center"/>
              <w:rPr>
                <w:rFonts w:ascii="Tw Cen MT" w:hAnsi="Tw Cen MT"/>
              </w:rPr>
            </w:pPr>
            <w:r>
              <w:rPr>
                <w:rFonts w:ascii="Tw Cen MT" w:hAnsi="Tw Cen MT"/>
              </w:rPr>
              <w:t>40 à 50</w:t>
            </w:r>
          </w:p>
        </w:tc>
        <w:tc>
          <w:tcPr>
            <w:tcW w:w="1135" w:type="dxa"/>
            <w:tcBorders>
              <w:top w:val="outset" w:color="auto" w:sz="6" w:space="0"/>
              <w:left w:val="single" w:color="auto" w:sz="4" w:space="0"/>
              <w:bottom w:val="outset" w:color="auto" w:sz="6" w:space="0"/>
              <w:right w:val="outset" w:color="auto" w:sz="6" w:space="0"/>
            </w:tcBorders>
          </w:tcPr>
          <w:p>
            <w:pPr>
              <w:spacing w:after="120"/>
              <w:jc w:val="center"/>
              <w:rPr>
                <w:rFonts w:ascii="Tw Cen MT" w:hAnsi="Tw Cen MT"/>
              </w:rPr>
            </w:pPr>
            <w:r>
              <w:rPr>
                <w:rFonts w:ascii="Tw Cen MT" w:hAnsi="Tw Cen MT"/>
              </w:rPr>
              <w:t>63 à 160</w:t>
            </w:r>
          </w:p>
        </w:tc>
      </w:tr>
      <w:tr>
        <w:trPr>
          <w:trHeight w:val="295" w:hRule="atLeast"/>
          <w:jc w:val="center"/>
        </w:trPr>
        <w:tc>
          <w:tcPr>
            <w:tcW w:w="3067"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Espacement entre Colliers (m) </w:t>
            </w:r>
          </w:p>
        </w:tc>
        <w:tc>
          <w:tcPr>
            <w:tcW w:w="2966"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Canalisations horizontales </w:t>
            </w:r>
          </w:p>
        </w:tc>
        <w:tc>
          <w:tcPr>
            <w:tcW w:w="954"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0.75</w:t>
            </w:r>
          </w:p>
        </w:tc>
        <w:tc>
          <w:tcPr>
            <w:tcW w:w="1020" w:type="dxa"/>
            <w:tcBorders>
              <w:top w:val="outset" w:color="auto" w:sz="6" w:space="0"/>
              <w:left w:val="outset" w:color="auto" w:sz="6" w:space="0"/>
              <w:bottom w:val="outset" w:color="auto" w:sz="6" w:space="0"/>
              <w:right w:val="single" w:color="auto" w:sz="4" w:space="0"/>
            </w:tcBorders>
          </w:tcPr>
          <w:p>
            <w:pPr>
              <w:spacing w:after="120"/>
              <w:jc w:val="center"/>
              <w:rPr>
                <w:rFonts w:ascii="Tw Cen MT" w:hAnsi="Tw Cen MT"/>
              </w:rPr>
            </w:pPr>
            <w:r>
              <w:rPr>
                <w:rFonts w:ascii="Tw Cen MT" w:hAnsi="Tw Cen MT"/>
              </w:rPr>
              <w:t>1.00</w:t>
            </w:r>
          </w:p>
        </w:tc>
        <w:tc>
          <w:tcPr>
            <w:tcW w:w="923" w:type="dxa"/>
            <w:tcBorders>
              <w:top w:val="outset" w:color="auto" w:sz="6" w:space="0"/>
              <w:left w:val="single" w:color="auto" w:sz="4" w:space="0"/>
              <w:bottom w:val="outset" w:color="auto" w:sz="6" w:space="0"/>
              <w:right w:val="single" w:color="auto" w:sz="4" w:space="0"/>
            </w:tcBorders>
          </w:tcPr>
          <w:p>
            <w:pPr>
              <w:spacing w:after="120"/>
              <w:jc w:val="center"/>
              <w:rPr>
                <w:rFonts w:ascii="Tw Cen MT" w:hAnsi="Tw Cen MT"/>
              </w:rPr>
            </w:pPr>
            <w:r>
              <w:rPr>
                <w:rFonts w:ascii="Tw Cen MT" w:hAnsi="Tw Cen MT"/>
              </w:rPr>
              <w:t>1.50</w:t>
            </w:r>
          </w:p>
        </w:tc>
        <w:tc>
          <w:tcPr>
            <w:tcW w:w="1135" w:type="dxa"/>
            <w:tcBorders>
              <w:top w:val="outset" w:color="auto" w:sz="6" w:space="0"/>
              <w:left w:val="single" w:color="auto" w:sz="4" w:space="0"/>
              <w:bottom w:val="outset" w:color="auto" w:sz="6" w:space="0"/>
              <w:right w:val="outset" w:color="auto" w:sz="6" w:space="0"/>
            </w:tcBorders>
          </w:tcPr>
          <w:p>
            <w:pPr>
              <w:spacing w:after="120"/>
              <w:jc w:val="center"/>
              <w:rPr>
                <w:rFonts w:ascii="Tw Cen MT" w:hAnsi="Tw Cen MT"/>
              </w:rPr>
            </w:pPr>
            <w:r>
              <w:rPr>
                <w:rFonts w:ascii="Tw Cen MT" w:hAnsi="Tw Cen MT"/>
              </w:rPr>
              <w:t>2.00</w:t>
            </w:r>
          </w:p>
        </w:tc>
      </w:tr>
      <w:tr>
        <w:trPr>
          <w:trHeight w:val="279" w:hRule="atLeast"/>
          <w:jc w:val="center"/>
        </w:trPr>
        <w:tc>
          <w:tcPr>
            <w:tcW w:w="3067"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p>
        </w:tc>
        <w:tc>
          <w:tcPr>
            <w:tcW w:w="2966"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Canalisations verticales </w:t>
            </w:r>
          </w:p>
        </w:tc>
        <w:tc>
          <w:tcPr>
            <w:tcW w:w="954"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1.00</w:t>
            </w:r>
          </w:p>
        </w:tc>
        <w:tc>
          <w:tcPr>
            <w:tcW w:w="1020" w:type="dxa"/>
            <w:tcBorders>
              <w:top w:val="outset" w:color="auto" w:sz="6" w:space="0"/>
              <w:left w:val="outset" w:color="auto" w:sz="6" w:space="0"/>
              <w:bottom w:val="outset" w:color="auto" w:sz="6" w:space="0"/>
              <w:right w:val="outset" w:color="auto" w:sz="6" w:space="0"/>
            </w:tcBorders>
          </w:tcPr>
          <w:p>
            <w:pPr>
              <w:spacing w:after="120"/>
              <w:jc w:val="center"/>
              <w:rPr>
                <w:rFonts w:ascii="Tw Cen MT" w:hAnsi="Tw Cen MT"/>
              </w:rPr>
            </w:pPr>
            <w:r>
              <w:rPr>
                <w:rFonts w:ascii="Tw Cen MT" w:hAnsi="Tw Cen MT"/>
              </w:rPr>
              <w:t>1.50</w:t>
            </w:r>
          </w:p>
        </w:tc>
        <w:tc>
          <w:tcPr>
            <w:tcW w:w="923" w:type="dxa"/>
            <w:tcBorders>
              <w:top w:val="outset" w:color="auto" w:sz="6" w:space="0"/>
              <w:left w:val="outset" w:color="auto" w:sz="6" w:space="0"/>
              <w:bottom w:val="outset" w:color="auto" w:sz="6" w:space="0"/>
              <w:right w:val="single" w:color="auto" w:sz="4" w:space="0"/>
            </w:tcBorders>
          </w:tcPr>
          <w:p>
            <w:pPr>
              <w:spacing w:after="120"/>
              <w:jc w:val="center"/>
              <w:rPr>
                <w:rFonts w:ascii="Tw Cen MT" w:hAnsi="Tw Cen MT"/>
              </w:rPr>
            </w:pPr>
            <w:r>
              <w:rPr>
                <w:rFonts w:ascii="Tw Cen MT" w:hAnsi="Tw Cen MT"/>
              </w:rPr>
              <w:t>2.00</w:t>
            </w:r>
          </w:p>
        </w:tc>
        <w:tc>
          <w:tcPr>
            <w:tcW w:w="1135" w:type="dxa"/>
            <w:tcBorders>
              <w:top w:val="outset" w:color="auto" w:sz="6" w:space="0"/>
              <w:left w:val="single" w:color="auto" w:sz="4" w:space="0"/>
              <w:bottom w:val="outset" w:color="auto" w:sz="6" w:space="0"/>
              <w:right w:val="outset" w:color="auto" w:sz="6" w:space="0"/>
            </w:tcBorders>
          </w:tcPr>
          <w:p>
            <w:pPr>
              <w:spacing w:after="120"/>
              <w:jc w:val="center"/>
              <w:rPr>
                <w:rFonts w:ascii="Tw Cen MT" w:hAnsi="Tw Cen MT"/>
              </w:rPr>
            </w:pPr>
            <w:r>
              <w:rPr>
                <w:rFonts w:ascii="Tw Cen MT" w:hAnsi="Tw Cen MT"/>
              </w:rPr>
              <w:t>2.00</w:t>
            </w:r>
          </w:p>
        </w:tc>
      </w:tr>
    </w:tbl>
    <w:p>
      <w:pPr>
        <w:spacing w:after="120"/>
        <w:rPr>
          <w:rFonts w:ascii="Tw Cen MT" w:hAnsi="Tw Cen MT"/>
        </w:rPr>
      </w:pPr>
    </w:p>
    <w:p>
      <w:pPr>
        <w:spacing w:after="120"/>
        <w:rPr>
          <w:rFonts w:ascii="Tw Cen MT" w:hAnsi="Tw Cen MT"/>
          <w:b/>
        </w:rPr>
      </w:pPr>
      <w:r>
        <w:rPr>
          <w:rFonts w:ascii="Tw Cen MT" w:hAnsi="Tw Cen MT"/>
          <w:b/>
        </w:rPr>
        <w:t xml:space="preserve">                TUBE PVC EAUX USEES, EAUX VANNES, EAUX PLUVIALES </w:t>
      </w:r>
    </w:p>
    <w:tbl>
      <w:tblPr>
        <w:tblStyle w:val="22"/>
        <w:tblW w:w="10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3"/>
        <w:gridCol w:w="3325"/>
        <w:gridCol w:w="1102"/>
        <w:gridCol w:w="1246"/>
        <w:gridCol w:w="1391"/>
      </w:tblGrid>
      <w:tr>
        <w:trPr>
          <w:trHeight w:val="271" w:hRule="atLeast"/>
          <w:jc w:val="center"/>
        </w:trPr>
        <w:tc>
          <w:tcPr>
            <w:tcW w:w="6518" w:type="dxa"/>
            <w:gridSpan w:val="2"/>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Diamètre extrémité (mm) </w:t>
            </w:r>
          </w:p>
        </w:tc>
        <w:tc>
          <w:tcPr>
            <w:tcW w:w="1102"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32 à 63 </w:t>
            </w:r>
          </w:p>
        </w:tc>
        <w:tc>
          <w:tcPr>
            <w:tcW w:w="1246"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75 à 140 </w:t>
            </w:r>
          </w:p>
        </w:tc>
        <w:tc>
          <w:tcPr>
            <w:tcW w:w="1391"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160 à 250 </w:t>
            </w:r>
          </w:p>
        </w:tc>
      </w:tr>
      <w:tr>
        <w:trPr>
          <w:trHeight w:val="256" w:hRule="atLeast"/>
          <w:jc w:val="center"/>
        </w:trPr>
        <w:tc>
          <w:tcPr>
            <w:tcW w:w="3193"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Espacement entre Colliers (m)</w:t>
            </w:r>
          </w:p>
        </w:tc>
        <w:tc>
          <w:tcPr>
            <w:tcW w:w="3325"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Canalisations horizontales </w:t>
            </w:r>
          </w:p>
        </w:tc>
        <w:tc>
          <w:tcPr>
            <w:tcW w:w="1102"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0.50 </w:t>
            </w:r>
          </w:p>
        </w:tc>
        <w:tc>
          <w:tcPr>
            <w:tcW w:w="1246"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0.80 </w:t>
            </w:r>
          </w:p>
        </w:tc>
        <w:tc>
          <w:tcPr>
            <w:tcW w:w="1391"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1 </w:t>
            </w:r>
          </w:p>
        </w:tc>
      </w:tr>
      <w:tr>
        <w:trPr>
          <w:trHeight w:val="271" w:hRule="atLeast"/>
          <w:jc w:val="center"/>
        </w:trPr>
        <w:tc>
          <w:tcPr>
            <w:tcW w:w="3193"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p>
        </w:tc>
        <w:tc>
          <w:tcPr>
            <w:tcW w:w="3325"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Canalisations verticales </w:t>
            </w:r>
          </w:p>
        </w:tc>
        <w:tc>
          <w:tcPr>
            <w:tcW w:w="1102"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2.70 </w:t>
            </w:r>
          </w:p>
        </w:tc>
        <w:tc>
          <w:tcPr>
            <w:tcW w:w="1246"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2.70 </w:t>
            </w:r>
          </w:p>
        </w:tc>
        <w:tc>
          <w:tcPr>
            <w:tcW w:w="1391"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 xml:space="preserve">2.70 </w:t>
            </w:r>
          </w:p>
        </w:tc>
      </w:tr>
    </w:tbl>
    <w:p>
      <w:pPr>
        <w:spacing w:after="120"/>
        <w:rPr>
          <w:rFonts w:ascii="Tw Cen MT" w:hAnsi="Tw Cen MT"/>
          <w:b/>
        </w:rPr>
      </w:pPr>
    </w:p>
    <w:p>
      <w:pPr>
        <w:spacing w:after="120"/>
        <w:rPr>
          <w:rFonts w:ascii="Tw Cen MT" w:hAnsi="Tw Cen MT"/>
          <w:b/>
        </w:rPr>
      </w:pPr>
      <w:r>
        <w:rPr>
          <w:rFonts w:ascii="Tw Cen MT" w:hAnsi="Tw Cen MT"/>
          <w:b/>
        </w:rPr>
        <w:t xml:space="preserve">                                       TUBE CUIVRE ET ACIER GALVANISE</w:t>
      </w:r>
    </w:p>
    <w:tbl>
      <w:tblPr>
        <w:tblStyle w:val="22"/>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3081"/>
        <w:gridCol w:w="1169"/>
        <w:gridCol w:w="1158"/>
        <w:gridCol w:w="1331"/>
      </w:tblGrid>
      <w:tr>
        <w:trPr>
          <w:trHeight w:val="278" w:hRule="atLeast"/>
        </w:trPr>
        <w:tc>
          <w:tcPr>
            <w:tcW w:w="6190" w:type="dxa"/>
            <w:gridSpan w:val="2"/>
            <w:tcBorders>
              <w:top w:val="outset" w:color="auto" w:sz="6" w:space="0"/>
              <w:left w:val="outset" w:color="auto" w:sz="6" w:space="0"/>
              <w:bottom w:val="outset" w:color="auto" w:sz="6" w:space="0"/>
              <w:right w:val="single" w:color="auto" w:sz="4" w:space="0"/>
            </w:tcBorders>
            <w:vAlign w:val="center"/>
          </w:tcPr>
          <w:p>
            <w:pPr>
              <w:spacing w:after="120"/>
              <w:rPr>
                <w:rFonts w:ascii="Tw Cen MT" w:hAnsi="Tw Cen MT"/>
              </w:rPr>
            </w:pPr>
            <w:r>
              <w:rPr>
                <w:rFonts w:ascii="Tw Cen MT" w:hAnsi="Tw Cen MT"/>
              </w:rPr>
              <w:t xml:space="preserve">Diamètre extrémité (mm) </w:t>
            </w:r>
          </w:p>
        </w:tc>
        <w:tc>
          <w:tcPr>
            <w:tcW w:w="1169" w:type="dxa"/>
            <w:tcBorders>
              <w:top w:val="outset" w:color="auto" w:sz="6" w:space="0"/>
              <w:left w:val="single" w:color="auto" w:sz="4"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20</w:t>
            </w:r>
          </w:p>
        </w:tc>
        <w:tc>
          <w:tcPr>
            <w:tcW w:w="1158"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21 à 40</w:t>
            </w:r>
          </w:p>
        </w:tc>
        <w:tc>
          <w:tcPr>
            <w:tcW w:w="1331"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41</w:t>
            </w:r>
          </w:p>
        </w:tc>
      </w:tr>
      <w:tr>
        <w:trPr>
          <w:trHeight w:val="541" w:hRule="atLeast"/>
        </w:trPr>
        <w:tc>
          <w:tcPr>
            <w:tcW w:w="3109"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r>
              <w:rPr>
                <w:rFonts w:ascii="Tw Cen MT" w:hAnsi="Tw Cen MT"/>
              </w:rPr>
              <w:t>Espacement entre Colliers (m)</w:t>
            </w:r>
          </w:p>
        </w:tc>
        <w:tc>
          <w:tcPr>
            <w:tcW w:w="3081" w:type="dxa"/>
            <w:tcBorders>
              <w:top w:val="outset" w:color="auto" w:sz="6" w:space="0"/>
              <w:left w:val="outset" w:color="auto" w:sz="6" w:space="0"/>
              <w:bottom w:val="outset" w:color="auto" w:sz="6" w:space="0"/>
              <w:right w:val="single" w:color="auto" w:sz="4" w:space="0"/>
            </w:tcBorders>
            <w:vAlign w:val="center"/>
          </w:tcPr>
          <w:p>
            <w:pPr>
              <w:spacing w:after="120"/>
              <w:rPr>
                <w:rFonts w:ascii="Tw Cen MT" w:hAnsi="Tw Cen MT"/>
              </w:rPr>
            </w:pPr>
            <w:r>
              <w:rPr>
                <w:rFonts w:ascii="Tw Cen MT" w:hAnsi="Tw Cen MT"/>
              </w:rPr>
              <w:t xml:space="preserve">Canalisations horizontales </w:t>
            </w:r>
          </w:p>
        </w:tc>
        <w:tc>
          <w:tcPr>
            <w:tcW w:w="1169" w:type="dxa"/>
            <w:tcBorders>
              <w:top w:val="outset" w:color="auto" w:sz="6" w:space="0"/>
              <w:left w:val="single" w:color="auto" w:sz="4"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1 .25</w:t>
            </w:r>
          </w:p>
        </w:tc>
        <w:tc>
          <w:tcPr>
            <w:tcW w:w="1158"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1 .80</w:t>
            </w:r>
          </w:p>
        </w:tc>
        <w:tc>
          <w:tcPr>
            <w:tcW w:w="1331"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2.50</w:t>
            </w:r>
          </w:p>
        </w:tc>
      </w:tr>
      <w:tr>
        <w:trPr>
          <w:trHeight w:val="263" w:hRule="atLeast"/>
        </w:trPr>
        <w:tc>
          <w:tcPr>
            <w:tcW w:w="3109" w:type="dxa"/>
            <w:tcBorders>
              <w:top w:val="outset" w:color="auto" w:sz="6" w:space="0"/>
              <w:left w:val="outset" w:color="auto" w:sz="6" w:space="0"/>
              <w:bottom w:val="outset" w:color="auto" w:sz="6" w:space="0"/>
              <w:right w:val="outset" w:color="auto" w:sz="6" w:space="0"/>
            </w:tcBorders>
            <w:vAlign w:val="center"/>
          </w:tcPr>
          <w:p>
            <w:pPr>
              <w:spacing w:after="120"/>
              <w:rPr>
                <w:rFonts w:ascii="Tw Cen MT" w:hAnsi="Tw Cen MT"/>
              </w:rPr>
            </w:pPr>
          </w:p>
        </w:tc>
        <w:tc>
          <w:tcPr>
            <w:tcW w:w="3081" w:type="dxa"/>
            <w:tcBorders>
              <w:top w:val="outset" w:color="auto" w:sz="6" w:space="0"/>
              <w:left w:val="outset" w:color="auto" w:sz="6" w:space="0"/>
              <w:bottom w:val="outset" w:color="auto" w:sz="6" w:space="0"/>
              <w:right w:val="single" w:color="auto" w:sz="4" w:space="0"/>
            </w:tcBorders>
            <w:vAlign w:val="center"/>
          </w:tcPr>
          <w:p>
            <w:pPr>
              <w:spacing w:after="120"/>
              <w:rPr>
                <w:rFonts w:ascii="Tw Cen MT" w:hAnsi="Tw Cen MT"/>
              </w:rPr>
            </w:pPr>
            <w:r>
              <w:rPr>
                <w:rFonts w:ascii="Tw Cen MT" w:hAnsi="Tw Cen MT"/>
              </w:rPr>
              <w:t xml:space="preserve">Canalisations verticales </w:t>
            </w:r>
          </w:p>
        </w:tc>
        <w:tc>
          <w:tcPr>
            <w:tcW w:w="1169" w:type="dxa"/>
            <w:tcBorders>
              <w:top w:val="outset" w:color="auto" w:sz="6" w:space="0"/>
              <w:left w:val="single" w:color="auto" w:sz="4"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1.50</w:t>
            </w:r>
          </w:p>
        </w:tc>
        <w:tc>
          <w:tcPr>
            <w:tcW w:w="1158"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2.25</w:t>
            </w:r>
          </w:p>
        </w:tc>
        <w:tc>
          <w:tcPr>
            <w:tcW w:w="1331" w:type="dxa"/>
            <w:tcBorders>
              <w:top w:val="outset" w:color="auto" w:sz="6" w:space="0"/>
              <w:left w:val="outset" w:color="auto" w:sz="6" w:space="0"/>
              <w:bottom w:val="outset" w:color="auto" w:sz="6" w:space="0"/>
              <w:right w:val="outset" w:color="auto" w:sz="6" w:space="0"/>
            </w:tcBorders>
            <w:vAlign w:val="center"/>
          </w:tcPr>
          <w:p>
            <w:pPr>
              <w:spacing w:after="120"/>
              <w:jc w:val="center"/>
              <w:rPr>
                <w:rFonts w:ascii="Tw Cen MT" w:hAnsi="Tw Cen MT"/>
              </w:rPr>
            </w:pPr>
            <w:r>
              <w:rPr>
                <w:rFonts w:ascii="Tw Cen MT" w:hAnsi="Tw Cen MT"/>
              </w:rPr>
              <w:t>3</w:t>
            </w:r>
          </w:p>
        </w:tc>
      </w:tr>
    </w:tbl>
    <w:p>
      <w:pPr>
        <w:spacing w:after="120"/>
        <w:rPr>
          <w:rFonts w:ascii="Tw Cen MT" w:hAnsi="Tw Cen MT"/>
        </w:rPr>
      </w:pPr>
    </w:p>
    <w:p>
      <w:pPr>
        <w:spacing w:after="120"/>
        <w:jc w:val="both"/>
        <w:rPr>
          <w:rFonts w:ascii="Tw Cen MT" w:hAnsi="Tw Cen MT"/>
        </w:rPr>
      </w:pPr>
      <w:r>
        <w:rPr>
          <w:rFonts w:ascii="Tw Cen MT" w:hAnsi="Tw Cen MT"/>
        </w:rPr>
        <w:t xml:space="preserve">Les canalisations EU et EV seront prolongées par des ventilations primaires de même diamètre débouchant à l’air libre ou en toiture. Les orifices des ventilations primaires seront équipés de grillage à mailles fins anti-insectes. </w:t>
      </w:r>
    </w:p>
    <w:p>
      <w:pPr>
        <w:spacing w:after="120"/>
        <w:jc w:val="both"/>
        <w:rPr>
          <w:rFonts w:ascii="Tw Cen MT" w:hAnsi="Tw Cen MT"/>
        </w:rPr>
      </w:pPr>
      <w:r>
        <w:rPr>
          <w:rFonts w:ascii="Tw Cen MT" w:hAnsi="Tw Cen MT"/>
        </w:rPr>
        <w:t xml:space="preserve">Des couvertures de nettoyage (bouchons de dégorgement, tampons, hermétiques) doivent être placées au pied de chaque chute, aux changements de direction, et dans les canalisations d’allure horizontale à raison d’un tampon par longueur de 15 m. </w:t>
      </w:r>
    </w:p>
    <w:p>
      <w:pPr>
        <w:pStyle w:val="9"/>
        <w:spacing w:after="120"/>
        <w:rPr>
          <w:rFonts w:ascii="Tw Cen MT" w:hAnsi="Tw Cen MT"/>
          <w:i w:val="0"/>
        </w:rPr>
      </w:pPr>
      <w:bookmarkStart w:id="180" w:name="_Toc387137198"/>
      <w:r>
        <w:rPr>
          <w:rFonts w:ascii="Tw Cen MT" w:hAnsi="Tw Cen MT"/>
        </w:rPr>
        <w:t>1.6    ESSAIS</w:t>
      </w:r>
      <w:bookmarkEnd w:id="180"/>
    </w:p>
    <w:p>
      <w:pPr>
        <w:spacing w:after="120"/>
        <w:jc w:val="both"/>
        <w:rPr>
          <w:rFonts w:ascii="Tw Cen MT" w:hAnsi="Tw Cen MT"/>
        </w:rPr>
      </w:pPr>
      <w:r>
        <w:rPr>
          <w:rFonts w:ascii="Tw Cen MT" w:hAnsi="Tw Cen MT"/>
        </w:rPr>
        <w:t xml:space="preserve">Les essais et contrôles seront réalisés conformément aux prescriptions du chap. 4 du DTU 60-1 et du Document Technique COPREC n° de décembre 1982. </w:t>
      </w:r>
    </w:p>
    <w:p>
      <w:pPr>
        <w:spacing w:after="120"/>
        <w:jc w:val="both"/>
        <w:rPr>
          <w:rFonts w:ascii="Tw Cen MT" w:hAnsi="Tw Cen MT"/>
        </w:rPr>
      </w:pPr>
      <w:r>
        <w:rPr>
          <w:rFonts w:ascii="Tw Cen MT" w:hAnsi="Tw Cen MT"/>
        </w:rPr>
        <w:t xml:space="preserve">Ces essais seront à la charge de l’Entrepreneur dans un procès-verbal conforme au modèle du Document Technique COPREC n°2 de décembre 1982. Ce procès-verbal devra être remis au maître d’ouvrage, au concepteur, et au bureau de contrôle avant la réception provisoire. </w:t>
      </w:r>
    </w:p>
    <w:p>
      <w:pPr>
        <w:spacing w:after="120"/>
        <w:rPr>
          <w:rFonts w:ascii="Tw Cen MT" w:hAnsi="Tw Cen MT"/>
        </w:rPr>
      </w:pPr>
      <w:r>
        <w:rPr>
          <w:rFonts w:ascii="Tw Cen MT" w:hAnsi="Tw Cen MT"/>
        </w:rPr>
        <w:t xml:space="preserve">Il est rappelé que les essais portent en particulier sur les points suivants : </w:t>
      </w:r>
    </w:p>
    <w:p>
      <w:pPr>
        <w:spacing w:after="120"/>
        <w:jc w:val="both"/>
        <w:rPr>
          <w:rFonts w:ascii="Tw Cen MT" w:hAnsi="Tw Cen MT"/>
        </w:rPr>
      </w:pPr>
      <w:r>
        <w:rPr>
          <w:rFonts w:ascii="Tw Cen MT" w:hAnsi="Tw Cen MT"/>
        </w:rPr>
        <w:t xml:space="preserve">- Essais d’étanchéité des réseaux de distribution sous une pression d’une 1 fois et demie la pression de service avec un minimum de 7 bars. </w:t>
      </w:r>
    </w:p>
    <w:p>
      <w:pPr>
        <w:spacing w:after="120"/>
        <w:jc w:val="both"/>
        <w:rPr>
          <w:rFonts w:ascii="Tw Cen MT" w:hAnsi="Tw Cen MT"/>
        </w:rPr>
      </w:pPr>
      <w:r>
        <w:rPr>
          <w:rFonts w:ascii="Tw Cen MT" w:hAnsi="Tw Cen MT"/>
        </w:rPr>
        <w:t xml:space="preserve">- Essais d’étanchéité des réseaux d’évacuation réalisés par examen visuel pendant l’écoulement de l’eau dans les canalisations. De plus, les collecteurs horizontaux seront soumis à un essai d’étanchéité hydraulique à une pression de 0,1 bar. </w:t>
      </w:r>
    </w:p>
    <w:p>
      <w:pPr>
        <w:spacing w:after="120"/>
        <w:jc w:val="both"/>
        <w:rPr>
          <w:rFonts w:ascii="Tw Cen MT" w:hAnsi="Tw Cen MT"/>
        </w:rPr>
      </w:pPr>
      <w:r>
        <w:rPr>
          <w:rFonts w:ascii="Tw Cen MT" w:hAnsi="Tw Cen MT"/>
        </w:rPr>
        <w:t xml:space="preserve">- Essais de fonctionnement : débit des appareils sanitaires, absence de bruit anormal, étanchéité des clapets, des bondes, évacuation correcte des cuvettes de WC. </w:t>
      </w:r>
    </w:p>
    <w:p>
      <w:pPr>
        <w:spacing w:after="120"/>
        <w:jc w:val="both"/>
        <w:rPr>
          <w:rFonts w:ascii="Tw Cen MT" w:hAnsi="Tw Cen MT"/>
        </w:rPr>
      </w:pPr>
      <w:r>
        <w:rPr>
          <w:rFonts w:ascii="Tw Cen MT" w:hAnsi="Tw Cen MT"/>
        </w:rPr>
        <w:t xml:space="preserve">Les matériels et personnel ainsi que les consommations d’eau nécessaires pour la réalisation de ces essais sont à la charge de l’Entrepreneur. </w:t>
      </w:r>
    </w:p>
    <w:p>
      <w:pPr>
        <w:spacing w:after="120"/>
        <w:jc w:val="both"/>
        <w:rPr>
          <w:rFonts w:ascii="Tw Cen MT" w:hAnsi="Tw Cen MT"/>
        </w:rPr>
      </w:pPr>
    </w:p>
    <w:p>
      <w:pPr>
        <w:spacing w:after="120"/>
        <w:jc w:val="both"/>
        <w:rPr>
          <w:rFonts w:ascii="Tw Cen MT" w:hAnsi="Tw Cen MT" w:cs="Arial"/>
          <w:b/>
        </w:rPr>
      </w:pPr>
      <w:r>
        <w:rPr>
          <w:rFonts w:ascii="Tw Cen MT" w:hAnsi="Tw Cen MT" w:cs="Arial"/>
          <w:b/>
        </w:rPr>
        <w:t>II.8. REVETEMENT SOL</w:t>
      </w:r>
    </w:p>
    <w:p>
      <w:pPr>
        <w:pStyle w:val="9"/>
        <w:spacing w:after="120"/>
        <w:jc w:val="both"/>
        <w:rPr>
          <w:rFonts w:ascii="Tw Cen MT" w:hAnsi="Tw Cen MT"/>
          <w:i w:val="0"/>
        </w:rPr>
      </w:pPr>
      <w:r>
        <w:rPr>
          <w:rFonts w:ascii="Tw Cen MT" w:hAnsi="Tw Cen MT"/>
        </w:rPr>
        <w:t xml:space="preserve">II.8.1 </w:t>
      </w:r>
      <w:r>
        <w:rPr>
          <w:rFonts w:ascii="Tw Cen MT" w:hAnsi="Tw Cen MT"/>
          <w:b/>
          <w:sz w:val="18"/>
        </w:rPr>
        <w:t>REVETEMENT : SPÉCIFICATIONS GENERALES</w:t>
      </w:r>
    </w:p>
    <w:p>
      <w:pPr>
        <w:spacing w:after="120"/>
        <w:ind w:firstLine="720"/>
        <w:jc w:val="both"/>
        <w:rPr>
          <w:rFonts w:ascii="Tw Cen MT" w:hAnsi="Tw Cen MT"/>
        </w:rPr>
      </w:pPr>
      <w:r>
        <w:rPr>
          <w:rFonts w:ascii="Tw Cen MT" w:hAnsi="Tw Cen MT"/>
        </w:rPr>
        <w:t xml:space="preserve">Le présent cahier des clauses techniques particulières (CCTP) a pour objet de rappeler pour le présent chapitre, les textes de référence et la réglementation, les limites de prestations entre les différents corps d’état, la qualité et la présentation des matériels et matériaux entrant dans la construction des ouvrages et leur mise en œuvre. </w:t>
      </w:r>
    </w:p>
    <w:p>
      <w:pPr>
        <w:spacing w:after="120"/>
        <w:ind w:firstLine="720"/>
        <w:jc w:val="both"/>
        <w:rPr>
          <w:rFonts w:ascii="Tw Cen MT" w:hAnsi="Tw Cen MT"/>
        </w:rPr>
      </w:pPr>
      <w:r>
        <w:rPr>
          <w:rFonts w:ascii="Tw Cen MT" w:hAnsi="Tw Cen MT"/>
        </w:rPr>
        <w:t xml:space="preserve">Les travaux comportent la mise en œuvre des prestations du commerce et d’ouvrages façonnés de la profession, fourniture et pose, y compris toute sujétion pour des ouvrages « complets ». </w:t>
      </w:r>
    </w:p>
    <w:p>
      <w:pPr>
        <w:spacing w:after="120"/>
        <w:jc w:val="both"/>
        <w:rPr>
          <w:rFonts w:ascii="Tw Cen MT" w:hAnsi="Tw Cen MT"/>
        </w:rPr>
      </w:pPr>
      <w:r>
        <w:rPr>
          <w:rFonts w:ascii="Tw Cen MT" w:hAnsi="Tw Cen MT"/>
        </w:rPr>
        <w:t xml:space="preserve">1.1.1    Textes de références - rappel de la réglementation </w:t>
      </w:r>
    </w:p>
    <w:p>
      <w:pPr>
        <w:spacing w:after="120"/>
        <w:ind w:firstLine="720"/>
        <w:jc w:val="both"/>
        <w:rPr>
          <w:rFonts w:ascii="Tw Cen MT" w:hAnsi="Tw Cen MT"/>
        </w:rPr>
      </w:pPr>
      <w:r>
        <w:rPr>
          <w:rFonts w:ascii="Tw Cen MT" w:hAnsi="Tw Cen MT"/>
        </w:rPr>
        <w:t xml:space="preserve">Les ouvrages de revêtements muraux en carrelage seront conformes aux spécifications du cahier des charges des revêtements muraux scellés, destinés aux locaux d’habitation, bureaux et établissements d’enseignement, établies par le groupe de coordination des textes techniques (DTU n 55 d’avril 1961). </w:t>
      </w:r>
    </w:p>
    <w:p>
      <w:pPr>
        <w:spacing w:after="120"/>
        <w:ind w:firstLine="720"/>
        <w:jc w:val="both"/>
        <w:rPr>
          <w:rFonts w:ascii="Tw Cen MT" w:hAnsi="Tw Cen MT"/>
        </w:rPr>
      </w:pPr>
      <w:r>
        <w:rPr>
          <w:rFonts w:ascii="Tw Cen MT" w:hAnsi="Tw Cen MT"/>
        </w:rPr>
        <w:t xml:space="preserve">Les ouvrages de revêtements de sols seront conformes aux spécifications du cahier des charges des revêtements de sols scellés applicables aux locaux d’habitation, bureau et établis par le centre scientifique et technique du bâtiment (DTU N 52.1 Octobre 1973). </w:t>
      </w:r>
    </w:p>
    <w:p>
      <w:pPr>
        <w:pStyle w:val="9"/>
        <w:spacing w:after="120"/>
        <w:rPr>
          <w:rFonts w:ascii="Tw Cen MT" w:hAnsi="Tw Cen MT"/>
          <w:i w:val="0"/>
        </w:rPr>
      </w:pPr>
      <w:bookmarkStart w:id="181" w:name="_Toc387137190"/>
      <w:r>
        <w:rPr>
          <w:rFonts w:ascii="Tw Cen MT" w:hAnsi="Tw Cen MT"/>
        </w:rPr>
        <w:t xml:space="preserve">1.2     QUALITE ET PRÉSENTATION DES </w:t>
      </w:r>
      <w:bookmarkEnd w:id="181"/>
      <w:r>
        <w:rPr>
          <w:rFonts w:ascii="Tw Cen MT" w:hAnsi="Tw Cen MT"/>
        </w:rPr>
        <w:t>MATÉRIAUX</w:t>
      </w:r>
    </w:p>
    <w:p>
      <w:pPr>
        <w:spacing w:after="120"/>
        <w:rPr>
          <w:rFonts w:ascii="Tw Cen MT" w:hAnsi="Tw Cen MT"/>
        </w:rPr>
      </w:pPr>
      <w:r>
        <w:rPr>
          <w:rFonts w:ascii="Tw Cen MT" w:hAnsi="Tw Cen MT"/>
        </w:rPr>
        <w:t>1.2.1   Grès cérame</w:t>
      </w:r>
    </w:p>
    <w:p>
      <w:pPr>
        <w:spacing w:after="120"/>
        <w:ind w:firstLine="720"/>
        <w:jc w:val="both"/>
        <w:rPr>
          <w:rFonts w:ascii="Tw Cen MT" w:hAnsi="Tw Cen MT"/>
        </w:rPr>
      </w:pPr>
      <w:r>
        <w:rPr>
          <w:rFonts w:ascii="Tw Cen MT" w:hAnsi="Tw Cen MT"/>
        </w:rPr>
        <w:t xml:space="preserve">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 « bon choix » correspond au deuxième classement. </w:t>
      </w:r>
    </w:p>
    <w:p>
      <w:pPr>
        <w:spacing w:after="120"/>
        <w:ind w:firstLine="720"/>
        <w:jc w:val="both"/>
        <w:rPr>
          <w:rFonts w:ascii="Tw Cen MT" w:hAnsi="Tw Cen MT"/>
        </w:rPr>
      </w:pPr>
      <w:r>
        <w:rPr>
          <w:rFonts w:ascii="Tw Cen MT" w:hAnsi="Tw Cen MT"/>
        </w:rPr>
        <w:t xml:space="preserve">Les caractéristiques des carreaux de grès cérame fin vitrifié devront être garanties par le PV d’essais justifiant leurs qualités physiques. </w:t>
      </w:r>
    </w:p>
    <w:p>
      <w:pPr>
        <w:spacing w:after="120"/>
        <w:jc w:val="both"/>
        <w:rPr>
          <w:rFonts w:ascii="Tw Cen MT" w:hAnsi="Tw Cen MT"/>
        </w:rPr>
      </w:pPr>
      <w:r>
        <w:rPr>
          <w:rFonts w:ascii="Tw Cen MT" w:hAnsi="Tw Cen MT"/>
        </w:rPr>
        <w:t xml:space="preserve">1.2.2      Grès émaillé </w:t>
      </w:r>
    </w:p>
    <w:p>
      <w:pPr>
        <w:spacing w:after="120"/>
        <w:jc w:val="both"/>
        <w:rPr>
          <w:rFonts w:ascii="Tw Cen MT" w:hAnsi="Tw Cen MT"/>
        </w:rPr>
      </w:pPr>
      <w:r>
        <w:rPr>
          <w:rFonts w:ascii="Tw Cen MT" w:hAnsi="Tw Cen MT"/>
        </w:rPr>
        <w:t xml:space="preserve">Mêmes prescriptions d’origine que pour le grès cérame, ces éléments seront fabriqués en mono cuisson à haute température d’un support semblable au grès cérame et recouvert d’émail. Cet émail doit être entièrement fusible et donc parfaitement lié au support in gélif et imperméable. </w:t>
      </w:r>
    </w:p>
    <w:p>
      <w:pPr>
        <w:spacing w:after="120"/>
        <w:jc w:val="both"/>
        <w:rPr>
          <w:rFonts w:ascii="Tw Cen MT" w:hAnsi="Tw Cen MT"/>
        </w:rPr>
      </w:pPr>
      <w:r>
        <w:rPr>
          <w:rFonts w:ascii="Tw Cen MT" w:hAnsi="Tw Cen MT"/>
        </w:rPr>
        <w:t xml:space="preserve">1.2.3      Faïence </w:t>
      </w:r>
    </w:p>
    <w:p>
      <w:pPr>
        <w:spacing w:after="120"/>
        <w:jc w:val="both"/>
        <w:rPr>
          <w:rFonts w:ascii="Tw Cen MT" w:hAnsi="Tw Cen MT"/>
        </w:rPr>
      </w:pPr>
      <w:r>
        <w:rPr>
          <w:rFonts w:ascii="Tw Cen MT" w:hAnsi="Tw Cen MT"/>
        </w:rPr>
        <w:t xml:space="preserve">Elles seront d’origine identique à celles des éléments de grès cérame CERABATI de caractéristiques définies par le DTU N° 55 et les normes 61.331 à 61.334. </w:t>
      </w:r>
    </w:p>
    <w:p>
      <w:pPr>
        <w:pStyle w:val="60"/>
        <w:spacing w:after="120"/>
        <w:jc w:val="both"/>
        <w:rPr>
          <w:rFonts w:ascii="Tw Cen MT" w:hAnsi="Tw Cen MT"/>
          <w:i/>
        </w:rPr>
      </w:pPr>
      <w:r>
        <w:rPr>
          <w:rFonts w:ascii="Tw Cen MT" w:hAnsi="Tw Cen MT"/>
        </w:rPr>
        <w:t xml:space="preserve">1.2.4    Ciment </w:t>
      </w:r>
    </w:p>
    <w:p>
      <w:pPr>
        <w:spacing w:after="120"/>
        <w:jc w:val="both"/>
        <w:rPr>
          <w:rFonts w:ascii="Tw Cen MT" w:hAnsi="Tw Cen MT"/>
        </w:rPr>
      </w:pPr>
      <w:r>
        <w:rPr>
          <w:rFonts w:ascii="Tw Cen MT" w:hAnsi="Tw Cen MT"/>
        </w:rPr>
        <w:t xml:space="preserve">Le ciment utilisé pour la confection des mortiers pour pose et crépi sera exclusivement du ciment CPA 32.5 sans constituant secondaire. Il sera approvisionné en sacs marqués. </w:t>
      </w:r>
    </w:p>
    <w:p>
      <w:pPr>
        <w:pStyle w:val="60"/>
        <w:spacing w:after="120"/>
        <w:jc w:val="both"/>
        <w:rPr>
          <w:rFonts w:ascii="Tw Cen MT" w:hAnsi="Tw Cen MT"/>
          <w:i/>
        </w:rPr>
      </w:pPr>
      <w:r>
        <w:rPr>
          <w:rFonts w:ascii="Tw Cen MT" w:hAnsi="Tw Cen MT"/>
        </w:rPr>
        <w:t xml:space="preserve">1.2.5     Sable </w:t>
      </w:r>
    </w:p>
    <w:p>
      <w:pPr>
        <w:spacing w:after="120"/>
        <w:ind w:firstLine="720"/>
        <w:jc w:val="both"/>
        <w:rPr>
          <w:rFonts w:ascii="Tw Cen MT" w:hAnsi="Tw Cen MT"/>
        </w:rPr>
      </w:pPr>
      <w:r>
        <w:rPr>
          <w:rFonts w:ascii="Tw Cen MT" w:hAnsi="Tw Cen MT"/>
        </w:rPr>
        <w:t xml:space="preserve">Le sable pour confection des mortiers ou pour formes sera conforme à la norme NFP 18.301 - calibrage 0.8/2.5. Il sera exempt de toute matière terreuse ou marneuse, bien crissant à la main, ne s’y attachant pas, passé à la claie et lavé si nécessaire. </w:t>
      </w:r>
    </w:p>
    <w:p>
      <w:pPr>
        <w:spacing w:after="120"/>
        <w:jc w:val="both"/>
        <w:rPr>
          <w:rFonts w:ascii="Tw Cen MT" w:hAnsi="Tw Cen MT"/>
        </w:rPr>
      </w:pPr>
      <w:r>
        <w:rPr>
          <w:rFonts w:ascii="Tw Cen MT" w:hAnsi="Tw Cen MT"/>
        </w:rPr>
        <w:t xml:space="preserve">1.2.6     Colles </w:t>
      </w:r>
    </w:p>
    <w:p>
      <w:pPr>
        <w:spacing w:after="120"/>
        <w:ind w:firstLine="720"/>
        <w:jc w:val="both"/>
        <w:rPr>
          <w:rFonts w:ascii="Tw Cen MT" w:hAnsi="Tw Cen MT"/>
        </w:rPr>
      </w:pPr>
      <w:r>
        <w:rPr>
          <w:rFonts w:ascii="Tw Cen MT" w:hAnsi="Tw Cen MT"/>
        </w:rPr>
        <w:t xml:space="preserve">Les colles employées devront obligatoirement être reconnues par un avis technique du CSTB et recevoir l’accord du bureau de contrôle. </w:t>
      </w:r>
    </w:p>
    <w:p>
      <w:pPr>
        <w:spacing w:after="120"/>
        <w:jc w:val="both"/>
        <w:rPr>
          <w:rFonts w:ascii="Tw Cen MT" w:hAnsi="Tw Cen MT"/>
        </w:rPr>
      </w:pPr>
      <w:r>
        <w:rPr>
          <w:rFonts w:ascii="Tw Cen MT" w:hAnsi="Tw Cen MT"/>
        </w:rPr>
        <w:t xml:space="preserve">1.2.7   Joint de dilatation - barres de seuils </w:t>
      </w:r>
    </w:p>
    <w:p>
      <w:pPr>
        <w:spacing w:after="120"/>
        <w:ind w:firstLine="720"/>
        <w:jc w:val="both"/>
        <w:rPr>
          <w:rFonts w:ascii="Tw Cen MT" w:hAnsi="Tw Cen MT"/>
        </w:rPr>
      </w:pPr>
      <w:r>
        <w:rPr>
          <w:rFonts w:ascii="Tw Cen MT" w:hAnsi="Tw Cen MT"/>
        </w:rPr>
        <w:t xml:space="preserve">Outre les joints imposés par le DTU et garnis au mastic plastique permanent, les joints de construction seront traités en finition à la charge du présent chapitre sur toutes les parties carrelées par des profilés de finition adhésifs en alliage léger TYPE DINAC ou similaire. </w:t>
      </w:r>
    </w:p>
    <w:p>
      <w:pPr>
        <w:spacing w:after="120"/>
        <w:ind w:firstLine="720"/>
        <w:jc w:val="both"/>
        <w:rPr>
          <w:rFonts w:ascii="Tw Cen MT" w:hAnsi="Tw Cen MT"/>
        </w:rPr>
      </w:pPr>
      <w:r>
        <w:rPr>
          <w:rFonts w:ascii="Tw Cen MT" w:hAnsi="Tw Cen MT"/>
        </w:rPr>
        <w:t xml:space="preserve">Au sol, modèle 1230 de 80 mm largeur. </w:t>
      </w:r>
    </w:p>
    <w:p>
      <w:pPr>
        <w:spacing w:after="120"/>
        <w:ind w:firstLine="720"/>
        <w:jc w:val="both"/>
        <w:rPr>
          <w:rFonts w:ascii="Tw Cen MT" w:hAnsi="Tw Cen MT"/>
        </w:rPr>
      </w:pPr>
      <w:r>
        <w:rPr>
          <w:rFonts w:ascii="Tw Cen MT" w:hAnsi="Tw Cen MT"/>
        </w:rPr>
        <w:t xml:space="preserve">Sur parois verticales, modèles 2130 de 80 mm largeur et en angle selon cas. </w:t>
      </w:r>
    </w:p>
    <w:p>
      <w:pPr>
        <w:spacing w:after="120"/>
        <w:ind w:firstLine="720"/>
        <w:jc w:val="both"/>
        <w:rPr>
          <w:rFonts w:ascii="Tw Cen MT" w:hAnsi="Tw Cen MT"/>
        </w:rPr>
      </w:pPr>
      <w:r>
        <w:rPr>
          <w:rFonts w:ascii="Tw Cen MT" w:hAnsi="Tw Cen MT"/>
        </w:rPr>
        <w:t>En outre, en raccord entre les sols de nature différente, il sera prévu selon indication du devis descriptif, des cornières d’arrêt en métal de 30 mm x 30 mm.</w:t>
      </w:r>
    </w:p>
    <w:p>
      <w:pPr>
        <w:spacing w:after="120"/>
        <w:jc w:val="both"/>
        <w:rPr>
          <w:rFonts w:ascii="Tw Cen MT" w:hAnsi="Tw Cen MT"/>
        </w:rPr>
      </w:pPr>
      <w:r>
        <w:rPr>
          <w:rFonts w:ascii="Tw Cen MT" w:hAnsi="Tw Cen MT"/>
        </w:rPr>
        <w:t xml:space="preserve">1.2.8 Echantillons </w:t>
      </w:r>
    </w:p>
    <w:p>
      <w:pPr>
        <w:spacing w:after="120"/>
        <w:ind w:firstLine="720"/>
        <w:jc w:val="both"/>
        <w:rPr>
          <w:rFonts w:ascii="Tw Cen MT" w:hAnsi="Tw Cen MT"/>
        </w:rPr>
      </w:pPr>
      <w:r>
        <w:rPr>
          <w:rFonts w:ascii="Tw Cen MT" w:hAnsi="Tw Cen MT"/>
        </w:rPr>
        <w:t xml:space="preserve">L’Entrepreneur sera tenu de fournir, à la demande du Maître d’Œuvre, un échantillon de chacun des articles prévus, tant appareillages que matériaux et prototypes. </w:t>
      </w:r>
    </w:p>
    <w:p>
      <w:pPr>
        <w:spacing w:after="120"/>
        <w:ind w:firstLine="720"/>
        <w:jc w:val="both"/>
        <w:rPr>
          <w:rFonts w:ascii="Tw Cen MT" w:hAnsi="Tw Cen MT"/>
        </w:rPr>
      </w:pPr>
      <w:r>
        <w:rPr>
          <w:rFonts w:ascii="Tw Cen MT" w:hAnsi="Tw Cen MT"/>
        </w:rPr>
        <w:t xml:space="preserve">Aucune commande de matériel ne pourra être passée par l’Entrepreneur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 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précédé sur ce dernier, dans les mêmes conditions, aux mêmes essais que sur le précédent échantillon. </w:t>
      </w:r>
    </w:p>
    <w:p>
      <w:pPr>
        <w:spacing w:after="120"/>
        <w:ind w:firstLine="720"/>
        <w:jc w:val="both"/>
        <w:rPr>
          <w:rFonts w:ascii="Tw Cen MT" w:hAnsi="Tw Cen MT"/>
        </w:rPr>
      </w:pPr>
      <w:r>
        <w:rPr>
          <w:rFonts w:ascii="Tw Cen MT" w:hAnsi="Tw Cen MT"/>
        </w:rPr>
        <w:t xml:space="preserve">L’Entrepreneur ne pourra prétendre à aucun délai supplémentaire ou indemnité à la suite du refus temporaire ou définitif d’un type de matériel ou fourniture. </w:t>
      </w:r>
    </w:p>
    <w:p>
      <w:pPr>
        <w:spacing w:after="120"/>
        <w:ind w:firstLine="720"/>
        <w:jc w:val="both"/>
        <w:rPr>
          <w:rFonts w:ascii="Tw Cen MT" w:hAnsi="Tw Cen MT"/>
        </w:rPr>
      </w:pPr>
      <w:r>
        <w:rPr>
          <w:rFonts w:ascii="Tw Cen MT" w:hAnsi="Tw Cen MT"/>
        </w:rPr>
        <w:t xml:space="preserve">La fourniture de tous ces échantillons est à la charge de l’Entrepreneur. </w:t>
      </w:r>
    </w:p>
    <w:p>
      <w:pPr>
        <w:pStyle w:val="9"/>
        <w:spacing w:after="120"/>
        <w:jc w:val="both"/>
        <w:rPr>
          <w:rFonts w:ascii="Tw Cen MT" w:hAnsi="Tw Cen MT"/>
          <w:i w:val="0"/>
        </w:rPr>
      </w:pPr>
      <w:bookmarkStart w:id="182" w:name="_Toc387137191"/>
      <w:r>
        <w:rPr>
          <w:rFonts w:ascii="Tw Cen MT" w:hAnsi="Tw Cen MT"/>
        </w:rPr>
        <w:t>1.3      MISE EN ŒUVRE</w:t>
      </w:r>
      <w:bookmarkEnd w:id="182"/>
    </w:p>
    <w:p>
      <w:pPr>
        <w:spacing w:after="120"/>
        <w:jc w:val="both"/>
        <w:rPr>
          <w:rFonts w:ascii="Tw Cen MT" w:hAnsi="Tw Cen MT"/>
        </w:rPr>
      </w:pPr>
      <w:r>
        <w:rPr>
          <w:rFonts w:ascii="Tw Cen MT" w:hAnsi="Tw Cen MT"/>
        </w:rPr>
        <w:t xml:space="preserve">1.3.1   Généralités </w:t>
      </w:r>
    </w:p>
    <w:p>
      <w:pPr>
        <w:spacing w:after="120"/>
        <w:ind w:firstLine="720"/>
        <w:jc w:val="both"/>
        <w:rPr>
          <w:rFonts w:ascii="Tw Cen MT" w:hAnsi="Tw Cen MT"/>
        </w:rPr>
      </w:pPr>
      <w:r>
        <w:rPr>
          <w:rFonts w:ascii="Tw Cen MT" w:hAnsi="Tw Cen MT"/>
        </w:rPr>
        <w:t xml:space="preserve">Les clauses techniques des DTU N° 52.1 à 55 sont complétées par les précisions ci-après : </w:t>
      </w:r>
    </w:p>
    <w:p>
      <w:pPr>
        <w:spacing w:after="120"/>
        <w:ind w:firstLine="720"/>
        <w:jc w:val="both"/>
        <w:rPr>
          <w:rFonts w:ascii="Tw Cen MT" w:hAnsi="Tw Cen MT"/>
        </w:rPr>
      </w:pPr>
      <w:r>
        <w:rPr>
          <w:rFonts w:ascii="Tw Cen MT" w:hAnsi="Tw Cen MT"/>
        </w:rPr>
        <w:t xml:space="preserve">Les carreaux épais de grès cérame seront posés soit à joints droits réduits soit à joints larges de 3 à 4 mm suivant la méthode dite « à la règle et à la batte ». - Outre les joints de dilatation de construction, l‘Entrepreneur devra prévoir partout où il le jugera nécessaire, des joints de décompression dont il assurera le garnissage avec un produit genre PRO ou similaire. </w:t>
      </w:r>
    </w:p>
    <w:p>
      <w:pPr>
        <w:spacing w:after="120"/>
        <w:ind w:firstLine="720"/>
        <w:jc w:val="both"/>
        <w:rPr>
          <w:rFonts w:ascii="Tw Cen MT" w:hAnsi="Tw Cen MT"/>
        </w:rPr>
      </w:pPr>
      <w:r>
        <w:rPr>
          <w:rFonts w:ascii="Tw Cen MT" w:hAnsi="Tw Cen MT"/>
        </w:rPr>
        <w:t xml:space="preserve">Les jointoiements seront exécutés au plus tôt 24 heures après la pose des éléments. </w:t>
      </w:r>
    </w:p>
    <w:p>
      <w:pPr>
        <w:spacing w:after="120"/>
        <w:ind w:firstLine="720"/>
        <w:jc w:val="both"/>
        <w:rPr>
          <w:rFonts w:ascii="Tw Cen MT" w:hAnsi="Tw Cen MT"/>
        </w:rPr>
      </w:pPr>
      <w:r>
        <w:rPr>
          <w:rFonts w:ascii="Tw Cen MT" w:hAnsi="Tw Cen MT"/>
        </w:rPr>
        <w:t xml:space="preserve">Le contact de zones de carrelage ou revêtement non adhérents « sonnant creux » entraînera le refus et l’obligation de réfection du sol de tout le local considéré. </w:t>
      </w:r>
    </w:p>
    <w:p>
      <w:pPr>
        <w:spacing w:after="120"/>
        <w:ind w:firstLine="720"/>
        <w:jc w:val="both"/>
        <w:rPr>
          <w:rFonts w:ascii="Tw Cen MT" w:hAnsi="Tw Cen MT"/>
        </w:rPr>
      </w:pPr>
      <w:r>
        <w:rPr>
          <w:rFonts w:ascii="Tw Cen MT" w:hAnsi="Tw Cen MT"/>
        </w:rPr>
        <w:t xml:space="preserve">L’Entrepreneur réceptionnera les supports sur lesquels il devra appliquer ses matériaux, n présence du Maître d’Œuvre. Il fera les réserves nécessaires justifiées qui devront être levées avant son intervention. A dater de la réception des supports il sera responsable de ta bonne tenue et de la bonne exécution de ses ouvrages. </w:t>
      </w:r>
    </w:p>
    <w:p>
      <w:pPr>
        <w:spacing w:after="120"/>
        <w:jc w:val="both"/>
        <w:rPr>
          <w:rFonts w:ascii="Tw Cen MT" w:hAnsi="Tw Cen MT"/>
          <w:bCs/>
        </w:rPr>
      </w:pPr>
      <w:r>
        <w:rPr>
          <w:rFonts w:ascii="Tw Cen MT" w:hAnsi="Tw Cen MT"/>
          <w:bCs/>
        </w:rPr>
        <w:t xml:space="preserve">1.3.2    Sujétion d’exécution </w:t>
      </w:r>
    </w:p>
    <w:p>
      <w:pPr>
        <w:spacing w:after="120"/>
        <w:ind w:firstLine="720"/>
        <w:jc w:val="both"/>
        <w:rPr>
          <w:rFonts w:ascii="Tw Cen MT" w:hAnsi="Tw Cen MT"/>
        </w:rPr>
      </w:pPr>
      <w:r>
        <w:rPr>
          <w:rFonts w:ascii="Tw Cen MT" w:hAnsi="Tw Cen MT"/>
        </w:rPr>
        <w:t xml:space="preserve">Les prix proposés comprennent implicitement toutes les sujétions de coupes et de déchets pour raccordement sur angles, tuyaux, seuils, etc... Ils comprennent également les raccords </w:t>
      </w:r>
      <w:r>
        <w:rPr>
          <w:rFonts w:ascii="Tw Cen MT" w:hAnsi="Tw Cen MT"/>
          <w:iCs/>
        </w:rPr>
        <w:t xml:space="preserve">à </w:t>
      </w:r>
      <w:r>
        <w:rPr>
          <w:rFonts w:ascii="Tw Cen MT" w:hAnsi="Tw Cen MT"/>
        </w:rPr>
        <w:t xml:space="preserve">exécuter après passage des fourreaux et canalisations diverses et la répartition des coupes. En ébrasement des ouvertures donnant sur des sols différents, les carrelages seront arrêtés à mi- feuillure des portes. </w:t>
      </w:r>
    </w:p>
    <w:p>
      <w:pPr>
        <w:spacing w:after="120"/>
        <w:ind w:firstLine="720"/>
        <w:jc w:val="both"/>
        <w:rPr>
          <w:rFonts w:ascii="Tw Cen MT" w:hAnsi="Tw Cen MT"/>
        </w:rPr>
      </w:pPr>
      <w:r>
        <w:rPr>
          <w:rFonts w:ascii="Tw Cen MT" w:hAnsi="Tw Cen MT"/>
        </w:rPr>
        <w:t>Sont également compris implicitement pour tous carrelages et revêtements les jointoiements par coulis de ciment ordinaire ou blanc, les nettoyages, et, pour les sols, l’épandage de sciure de bois blanc.</w:t>
      </w:r>
    </w:p>
    <w:p>
      <w:pPr>
        <w:spacing w:after="120"/>
        <w:jc w:val="both"/>
        <w:rPr>
          <w:rFonts w:ascii="Tw Cen MT" w:hAnsi="Tw Cen MT"/>
        </w:rPr>
      </w:pPr>
    </w:p>
    <w:p>
      <w:pPr>
        <w:spacing w:before="120" w:after="120"/>
        <w:jc w:val="both"/>
        <w:rPr>
          <w:rFonts w:ascii="Tw Cen MT" w:hAnsi="Tw Cen MT" w:cs="Arial"/>
          <w:sz w:val="2"/>
        </w:rPr>
      </w:pPr>
    </w:p>
    <w:p>
      <w:pPr>
        <w:tabs>
          <w:tab w:val="left" w:pos="560"/>
          <w:tab w:val="left" w:pos="980"/>
          <w:tab w:val="left" w:pos="1660"/>
          <w:tab w:val="left" w:pos="1940"/>
        </w:tabs>
        <w:spacing w:before="120" w:after="120"/>
        <w:jc w:val="both"/>
        <w:rPr>
          <w:rFonts w:ascii="Tw Cen MT" w:hAnsi="Tw Cen MT" w:cs="Segoe UI Semibold"/>
          <w:b/>
        </w:rPr>
      </w:pPr>
      <w:r>
        <w:rPr>
          <w:rFonts w:ascii="Tw Cen MT" w:hAnsi="Tw Cen MT" w:cs="Segoe UI Semibold"/>
          <w:b/>
        </w:rPr>
        <w:t xml:space="preserve">II.9. </w:t>
      </w:r>
      <w:r>
        <w:rPr>
          <w:rFonts w:ascii="Tw Cen MT" w:hAnsi="Tw Cen MT" w:cs="Segoe UI"/>
          <w:b/>
          <w:bCs/>
          <w:szCs w:val="20"/>
        </w:rPr>
        <w:t xml:space="preserve">ELECTRICITE </w:t>
      </w:r>
    </w:p>
    <w:p>
      <w:pPr>
        <w:widowControl w:val="0"/>
        <w:numPr>
          <w:ilvl w:val="0"/>
          <w:numId w:val="72"/>
        </w:numPr>
        <w:autoSpaceDE w:val="0"/>
        <w:autoSpaceDN w:val="0"/>
        <w:adjustRightInd w:val="0"/>
        <w:spacing w:line="276" w:lineRule="auto"/>
        <w:ind w:right="592"/>
        <w:jc w:val="both"/>
        <w:rPr>
          <w:rFonts w:ascii="Tw Cen MT" w:hAnsi="Tw Cen MT" w:cs="Arial"/>
          <w:szCs w:val="26"/>
        </w:rPr>
      </w:pPr>
      <w:r>
        <w:rPr>
          <w:rFonts w:ascii="Tw Cen MT" w:hAnsi="Tw Cen MT" w:cs="Arial"/>
          <w:szCs w:val="26"/>
        </w:rPr>
        <w:t xml:space="preserve">Fourreautage en gaine orange de diamètre adéquat encastré dans la maçonnerie; </w:t>
      </w:r>
    </w:p>
    <w:p>
      <w:pPr>
        <w:widowControl w:val="0"/>
        <w:numPr>
          <w:ilvl w:val="0"/>
          <w:numId w:val="72"/>
        </w:numPr>
        <w:autoSpaceDE w:val="0"/>
        <w:autoSpaceDN w:val="0"/>
        <w:adjustRightInd w:val="0"/>
        <w:spacing w:line="276" w:lineRule="auto"/>
        <w:ind w:right="592"/>
        <w:jc w:val="both"/>
        <w:rPr>
          <w:rFonts w:ascii="Tw Cen MT" w:hAnsi="Tw Cen MT" w:cs="Arial"/>
          <w:szCs w:val="26"/>
        </w:rPr>
      </w:pPr>
      <w:r>
        <w:rPr>
          <w:rFonts w:ascii="Tw Cen MT" w:hAnsi="Tw Cen MT" w:cs="Arial"/>
          <w:szCs w:val="26"/>
        </w:rPr>
        <w:t>Câbles en VGV ou TH de section 2,5mm2 pour les prises et 1,5mm2 pour les lampes;</w:t>
      </w:r>
    </w:p>
    <w:p>
      <w:pPr>
        <w:widowControl w:val="0"/>
        <w:numPr>
          <w:ilvl w:val="0"/>
          <w:numId w:val="72"/>
        </w:numPr>
        <w:autoSpaceDE w:val="0"/>
        <w:autoSpaceDN w:val="0"/>
        <w:adjustRightInd w:val="0"/>
        <w:spacing w:line="276" w:lineRule="auto"/>
        <w:ind w:right="592"/>
        <w:jc w:val="both"/>
        <w:rPr>
          <w:rFonts w:ascii="Tw Cen MT" w:hAnsi="Tw Cen MT" w:cs="Arial"/>
          <w:szCs w:val="26"/>
        </w:rPr>
      </w:pPr>
      <w:r>
        <w:rPr>
          <w:rFonts w:ascii="Tw Cen MT" w:hAnsi="Tw Cen MT" w:cs="Arial"/>
          <w:szCs w:val="26"/>
        </w:rPr>
        <w:t>Prises et réglettes de 1,20m seront de 1er choix et installés seront les règles de l’art.</w:t>
      </w:r>
    </w:p>
    <w:p>
      <w:pPr>
        <w:ind w:right="592" w:firstLine="567"/>
        <w:jc w:val="both"/>
        <w:rPr>
          <w:rFonts w:ascii="Tw Cen MT" w:hAnsi="Tw Cen MT" w:cs="Arial"/>
          <w:szCs w:val="26"/>
        </w:rPr>
      </w:pPr>
      <w:r>
        <w:rPr>
          <w:rFonts w:ascii="Tw Cen MT" w:hAnsi="Tw Cen MT" w:cs="Arial"/>
          <w:szCs w:val="26"/>
        </w:rPr>
        <w:t>L’installation électrique sera exécutée de façon encastrée avec gaines et câbles conformément aux normes ENEO en vigueur.</w:t>
      </w:r>
    </w:p>
    <w:p>
      <w:pPr>
        <w:ind w:right="592" w:firstLine="567"/>
        <w:jc w:val="both"/>
        <w:rPr>
          <w:rFonts w:ascii="Tw Cen MT" w:hAnsi="Tw Cen MT" w:cs="Arial"/>
          <w:szCs w:val="26"/>
        </w:rPr>
      </w:pPr>
      <w:r>
        <w:rPr>
          <w:rFonts w:ascii="Tw Cen MT" w:hAnsi="Tw Cen MT" w:cs="Arial"/>
          <w:szCs w:val="26"/>
        </w:rPr>
        <w:t>La mise à terre de l’installation sera par câble en cuivre placée au fond des fouilles et le piquet de terre aura une bavette de coupure.</w:t>
      </w:r>
    </w:p>
    <w:p>
      <w:pPr>
        <w:ind w:right="592" w:firstLine="567"/>
        <w:jc w:val="both"/>
        <w:rPr>
          <w:rFonts w:ascii="Tw Cen MT" w:hAnsi="Tw Cen MT" w:cs="Arial"/>
          <w:szCs w:val="26"/>
        </w:rPr>
      </w:pPr>
      <w:r>
        <w:rPr>
          <w:rFonts w:ascii="Tw Cen MT" w:hAnsi="Tw Cen MT" w:cs="Arial"/>
          <w:szCs w:val="26"/>
        </w:rPr>
        <w:t>Les coupe-circuit placés dans les boites de dérivation seront de type bipolaire.</w:t>
      </w:r>
    </w:p>
    <w:p>
      <w:pPr>
        <w:ind w:right="592" w:firstLine="567"/>
        <w:jc w:val="both"/>
        <w:rPr>
          <w:rFonts w:ascii="Tw Cen MT" w:hAnsi="Tw Cen MT" w:cs="Arial"/>
          <w:szCs w:val="26"/>
        </w:rPr>
      </w:pPr>
      <w:r>
        <w:rPr>
          <w:rFonts w:ascii="Tw Cen MT" w:hAnsi="Tw Cen MT" w:cs="Arial"/>
          <w:szCs w:val="26"/>
        </w:rPr>
        <w:t>L’ensemble du petit appareillage comprenant tubes, interrupteurs, prises de courant sera du type encastré à fusible incorporé.</w:t>
      </w:r>
    </w:p>
    <w:p>
      <w:pPr>
        <w:pStyle w:val="11"/>
        <w:tabs>
          <w:tab w:val="left" w:pos="0"/>
        </w:tabs>
        <w:rPr>
          <w:rFonts w:ascii="Tw Cen MT" w:hAnsi="Tw Cen MT" w:cs="Arial"/>
          <w:b/>
          <w:bCs/>
          <w:iCs/>
          <w:sz w:val="2"/>
          <w:szCs w:val="24"/>
        </w:rPr>
      </w:pPr>
    </w:p>
    <w:p>
      <w:pPr>
        <w:tabs>
          <w:tab w:val="left" w:pos="560"/>
          <w:tab w:val="left" w:pos="980"/>
          <w:tab w:val="left" w:pos="1660"/>
          <w:tab w:val="left" w:pos="1940"/>
        </w:tabs>
        <w:spacing w:before="120" w:after="120"/>
        <w:jc w:val="both"/>
        <w:rPr>
          <w:rFonts w:ascii="Tw Cen MT" w:hAnsi="Tw Cen MT" w:cs="Arial"/>
          <w:b/>
        </w:rPr>
      </w:pPr>
      <w:r>
        <w:rPr>
          <w:rFonts w:ascii="Tw Cen MT" w:hAnsi="Tw Cen MT" w:cs="Segoe UI Semibold"/>
          <w:b/>
        </w:rPr>
        <w:t xml:space="preserve">II.10. PEINTURE </w:t>
      </w:r>
    </w:p>
    <w:p>
      <w:pPr>
        <w:spacing w:before="120" w:after="120"/>
        <w:ind w:right="524"/>
        <w:jc w:val="both"/>
        <w:rPr>
          <w:rFonts w:ascii="Tw Cen MT" w:hAnsi="Tw Cen MT" w:cs="Arial"/>
          <w:b/>
        </w:rPr>
      </w:pPr>
      <w:r>
        <w:rPr>
          <w:rFonts w:ascii="Tw Cen MT" w:hAnsi="Tw Cen MT" w:cs="Arial"/>
          <w:b/>
        </w:rPr>
        <w:t>II.7.1. Subjectile et consistance des travaux</w:t>
      </w:r>
    </w:p>
    <w:p>
      <w:pPr>
        <w:spacing w:before="120" w:after="120"/>
        <w:ind w:right="524"/>
        <w:jc w:val="both"/>
        <w:rPr>
          <w:rFonts w:ascii="Tw Cen MT" w:hAnsi="Tw Cen MT" w:cs="Arial"/>
        </w:rPr>
      </w:pPr>
      <w:r>
        <w:rPr>
          <w:rFonts w:ascii="Tw Cen MT" w:hAnsi="Tw Cen MT" w:cs="Arial"/>
        </w:rPr>
        <w:t xml:space="preserve">Le </w:t>
      </w:r>
      <w:r>
        <w:rPr>
          <w:rFonts w:ascii="Tw Cen MT" w:hAnsi="Tw Cen MT" w:cs="Arial"/>
          <w:b/>
        </w:rPr>
        <w:t>subjectile</w:t>
      </w:r>
      <w:r>
        <w:rPr>
          <w:rFonts w:ascii="Tw Cen MT" w:hAnsi="Tw Cen MT" w:cs="Arial"/>
        </w:rPr>
        <w:t xml:space="preserve"> est la surface sur laquelle est appliquée une couche d’enduit, de peinture ou de vernis. Il sera donc constitué selon le cas par :</w:t>
      </w:r>
    </w:p>
    <w:p>
      <w:pPr>
        <w:pStyle w:val="59"/>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Pr>
          <w:rFonts w:ascii="Tw Cen MT" w:hAnsi="Tw Cen MT" w:cs="Arial"/>
          <w:sz w:val="24"/>
          <w:szCs w:val="24"/>
        </w:rPr>
        <w:t>Un parement en béton ;</w:t>
      </w:r>
    </w:p>
    <w:p>
      <w:pPr>
        <w:pStyle w:val="59"/>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Pr>
          <w:rFonts w:ascii="Tw Cen MT" w:hAnsi="Tw Cen MT" w:cs="Arial"/>
          <w:sz w:val="24"/>
          <w:szCs w:val="24"/>
        </w:rPr>
        <w:t>Un enduit au mortier de ciment ;</w:t>
      </w:r>
    </w:p>
    <w:p>
      <w:pPr>
        <w:pStyle w:val="59"/>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Pr>
          <w:rFonts w:ascii="Tw Cen MT" w:hAnsi="Tw Cen MT" w:cs="Arial"/>
          <w:sz w:val="24"/>
          <w:szCs w:val="24"/>
        </w:rPr>
        <w:t>Une menuiserie en bois ;</w:t>
      </w:r>
    </w:p>
    <w:p>
      <w:pPr>
        <w:pStyle w:val="59"/>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Pr>
          <w:rFonts w:ascii="Tw Cen MT" w:hAnsi="Tw Cen MT" w:cs="Arial"/>
          <w:sz w:val="24"/>
          <w:szCs w:val="24"/>
        </w:rPr>
        <w:t>Une menuiserie métallique ayant reçu une protection primaire d’antirouille.</w:t>
      </w:r>
    </w:p>
    <w:p>
      <w:pPr>
        <w:pStyle w:val="11"/>
        <w:tabs>
          <w:tab w:val="left" w:pos="0"/>
        </w:tabs>
        <w:spacing w:line="276" w:lineRule="auto"/>
        <w:rPr>
          <w:rFonts w:ascii="Tw Cen MT" w:hAnsi="Tw Cen MT" w:cs="Arial"/>
          <w:b/>
          <w:bCs/>
          <w:sz w:val="24"/>
          <w:szCs w:val="24"/>
          <w:u w:val="single"/>
        </w:rPr>
      </w:pPr>
      <w:r>
        <w:rPr>
          <w:rFonts w:ascii="Tw Cen MT" w:hAnsi="Tw Cen MT" w:cs="Arial"/>
          <w:b/>
          <w:bCs/>
          <w:sz w:val="24"/>
          <w:szCs w:val="24"/>
        </w:rPr>
        <w:t>II.7.2. Conditions d’exécution des travaux</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Avant toute exécution des travaux de peinture, l’entrepreneur est tenu de procéder à la validation et à la réception par l’Ingénieur du marché des surfaces apprêtée pour la peinture et des types de peintures.</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Un échantillonnage de chaque peinture sera exécuté sur une surface de </w:t>
      </w:r>
      <w:r>
        <w:rPr>
          <w:rFonts w:ascii="Tw Cen MT" w:hAnsi="Tw Cen MT" w:cs="Arial"/>
          <w:b/>
          <w:bCs/>
          <w:sz w:val="24"/>
          <w:szCs w:val="24"/>
        </w:rPr>
        <w:t>1m</w:t>
      </w:r>
      <w:r>
        <w:rPr>
          <w:rFonts w:ascii="Tw Cen MT" w:hAnsi="Tw Cen MT" w:cs="Arial"/>
          <w:b/>
          <w:bCs/>
          <w:sz w:val="24"/>
          <w:szCs w:val="24"/>
          <w:vertAlign w:val="superscript"/>
        </w:rPr>
        <w:t>2</w:t>
      </w:r>
      <w:r>
        <w:rPr>
          <w:rFonts w:ascii="Tw Cen MT" w:hAnsi="Tw Cen MT" w:cs="Arial"/>
          <w:bCs/>
          <w:sz w:val="24"/>
          <w:szCs w:val="24"/>
        </w:rPr>
        <w:t xml:space="preserve"> pour permettre à l’ingénieur de juger de sa qualité avant la réalisation des travaux.</w:t>
      </w:r>
    </w:p>
    <w:p>
      <w:pPr>
        <w:pStyle w:val="11"/>
        <w:tabs>
          <w:tab w:val="left" w:pos="0"/>
        </w:tabs>
        <w:spacing w:line="276" w:lineRule="auto"/>
        <w:rPr>
          <w:rFonts w:ascii="Tw Cen MT" w:hAnsi="Tw Cen MT" w:cs="Arial"/>
          <w:b/>
          <w:bCs/>
          <w:sz w:val="24"/>
          <w:szCs w:val="24"/>
          <w:u w:val="single"/>
        </w:rPr>
      </w:pPr>
      <w:r>
        <w:rPr>
          <w:rFonts w:ascii="Tw Cen MT" w:hAnsi="Tw Cen MT" w:cs="Arial"/>
          <w:b/>
          <w:bCs/>
          <w:sz w:val="24"/>
          <w:szCs w:val="24"/>
        </w:rPr>
        <w:t>II.6.3. Peinture des murs et du plafond</w:t>
      </w:r>
    </w:p>
    <w:p>
      <w:pPr>
        <w:pStyle w:val="11"/>
        <w:numPr>
          <w:ilvl w:val="0"/>
          <w:numId w:val="82"/>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 xml:space="preserve">La peinture sur les murs intérieurs et plafonds sera de type </w:t>
      </w:r>
      <w:r>
        <w:rPr>
          <w:rFonts w:ascii="Tw Cen MT" w:hAnsi="Tw Cen MT" w:cs="Arial"/>
          <w:b/>
          <w:bCs/>
          <w:sz w:val="24"/>
          <w:szCs w:val="24"/>
        </w:rPr>
        <w:t>Pantex 800</w:t>
      </w:r>
      <w:r>
        <w:rPr>
          <w:rFonts w:ascii="Tw Cen MT" w:hAnsi="Tw Cen MT" w:cs="Arial"/>
          <w:bCs/>
          <w:sz w:val="24"/>
          <w:szCs w:val="24"/>
        </w:rPr>
        <w:t xml:space="preserve"> ou équivalent en </w:t>
      </w:r>
      <w:r>
        <w:rPr>
          <w:rFonts w:ascii="Tw Cen MT" w:hAnsi="Tw Cen MT" w:cs="Arial"/>
          <w:b/>
          <w:bCs/>
          <w:sz w:val="24"/>
          <w:szCs w:val="24"/>
        </w:rPr>
        <w:t>02 couches</w:t>
      </w:r>
      <w:r>
        <w:rPr>
          <w:rFonts w:ascii="Tw Cen MT" w:hAnsi="Tw Cen MT" w:cs="Arial"/>
          <w:bCs/>
          <w:sz w:val="24"/>
          <w:szCs w:val="24"/>
        </w:rPr>
        <w:t xml:space="preserve">. </w:t>
      </w:r>
    </w:p>
    <w:p>
      <w:pPr>
        <w:pStyle w:val="11"/>
        <w:numPr>
          <w:ilvl w:val="0"/>
          <w:numId w:val="82"/>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 xml:space="preserve">La peinture sur les murs extérieurs sera de type </w:t>
      </w:r>
      <w:r>
        <w:rPr>
          <w:rFonts w:ascii="Tw Cen MT" w:hAnsi="Tw Cen MT" w:cs="Arial"/>
          <w:b/>
          <w:bCs/>
          <w:sz w:val="24"/>
          <w:szCs w:val="24"/>
        </w:rPr>
        <w:t>Pantex 1300</w:t>
      </w:r>
      <w:r>
        <w:rPr>
          <w:rFonts w:ascii="Tw Cen MT" w:hAnsi="Tw Cen MT" w:cs="Arial"/>
          <w:bCs/>
          <w:sz w:val="24"/>
          <w:szCs w:val="24"/>
        </w:rPr>
        <w:t xml:space="preserve"> ou équivalent en </w:t>
      </w:r>
      <w:r>
        <w:rPr>
          <w:rFonts w:ascii="Tw Cen MT" w:hAnsi="Tw Cen MT" w:cs="Arial"/>
          <w:b/>
          <w:bCs/>
          <w:sz w:val="24"/>
          <w:szCs w:val="24"/>
        </w:rPr>
        <w:t>02</w:t>
      </w:r>
      <w:r>
        <w:rPr>
          <w:rFonts w:ascii="Tw Cen MT" w:hAnsi="Tw Cen MT" w:cs="Arial"/>
          <w:bCs/>
          <w:sz w:val="24"/>
          <w:szCs w:val="24"/>
        </w:rPr>
        <w:t xml:space="preserve"> couches.</w:t>
      </w:r>
    </w:p>
    <w:p>
      <w:pPr>
        <w:pStyle w:val="11"/>
        <w:tabs>
          <w:tab w:val="left" w:pos="0"/>
        </w:tabs>
        <w:spacing w:line="276" w:lineRule="auto"/>
        <w:rPr>
          <w:rFonts w:ascii="Tw Cen MT" w:hAnsi="Tw Cen MT" w:cs="Arial"/>
          <w:bCs/>
          <w:sz w:val="24"/>
          <w:szCs w:val="24"/>
        </w:rPr>
      </w:pPr>
      <w:r>
        <w:rPr>
          <w:rFonts w:ascii="Tw Cen MT" w:hAnsi="Tw Cen MT" w:cs="Arial"/>
          <w:b/>
          <w:bCs/>
          <w:sz w:val="24"/>
          <w:szCs w:val="24"/>
          <w:u w:val="single"/>
        </w:rPr>
        <w:t>NB </w:t>
      </w:r>
      <w:r>
        <w:rPr>
          <w:rFonts w:ascii="Tw Cen MT" w:hAnsi="Tw Cen MT" w:cs="Arial"/>
          <w:bCs/>
          <w:sz w:val="24"/>
          <w:szCs w:val="24"/>
        </w:rPr>
        <w:t>: La teinte « </w:t>
      </w:r>
      <w:r>
        <w:rPr>
          <w:rFonts w:ascii="Tw Cen MT" w:hAnsi="Tw Cen MT" w:cs="Arial"/>
          <w:b/>
          <w:bCs/>
          <w:sz w:val="24"/>
          <w:szCs w:val="24"/>
        </w:rPr>
        <w:t>Gold Aquitaine</w:t>
      </w:r>
      <w:r>
        <w:rPr>
          <w:rFonts w:ascii="Tw Cen MT" w:hAnsi="Tw Cen MT" w:cs="Arial"/>
          <w:bCs/>
          <w:sz w:val="24"/>
          <w:szCs w:val="24"/>
        </w:rPr>
        <w:t xml:space="preserve"> » est recommandée pour les murs extérieurs et le </w:t>
      </w:r>
      <w:r>
        <w:rPr>
          <w:rFonts w:ascii="Tw Cen MT" w:hAnsi="Tw Cen MT" w:cs="Arial"/>
          <w:b/>
          <w:bCs/>
          <w:sz w:val="24"/>
          <w:szCs w:val="24"/>
        </w:rPr>
        <w:t>jaune ocre</w:t>
      </w:r>
      <w:r>
        <w:rPr>
          <w:rFonts w:ascii="Tw Cen MT" w:hAnsi="Tw Cen MT" w:cs="Arial"/>
          <w:bCs/>
          <w:sz w:val="24"/>
          <w:szCs w:val="24"/>
        </w:rPr>
        <w:t xml:space="preserve"> pour les murs intérieurs. L’entreprise prendra en compte le phénomène de la rouille sur les pointes du plafond crée par le contact de l’humidité de la peinture </w:t>
      </w:r>
      <w:r>
        <w:rPr>
          <w:rFonts w:ascii="Tw Cen MT" w:hAnsi="Tw Cen MT" w:cs="Arial"/>
          <w:b/>
          <w:bCs/>
          <w:sz w:val="24"/>
          <w:szCs w:val="24"/>
        </w:rPr>
        <w:t>Pantex 800</w:t>
      </w:r>
      <w:r>
        <w:rPr>
          <w:rFonts w:ascii="Tw Cen MT" w:hAnsi="Tw Cen MT" w:cs="Arial"/>
          <w:bCs/>
          <w:sz w:val="24"/>
          <w:szCs w:val="24"/>
        </w:rPr>
        <w:t>.  Elle devra y remédier en utilisant du mastic ou proposer une solution  équivalente.</w:t>
      </w:r>
    </w:p>
    <w:p>
      <w:pPr>
        <w:pStyle w:val="11"/>
        <w:tabs>
          <w:tab w:val="left" w:pos="0"/>
        </w:tabs>
        <w:spacing w:line="276" w:lineRule="auto"/>
        <w:rPr>
          <w:rFonts w:ascii="Tw Cen MT" w:hAnsi="Tw Cen MT" w:cs="Arial"/>
          <w:bCs/>
          <w:sz w:val="24"/>
          <w:szCs w:val="24"/>
        </w:rPr>
      </w:pPr>
      <w:r>
        <w:rPr>
          <w:rFonts w:ascii="Tw Cen MT" w:hAnsi="Tw Cen MT" w:cs="Arial"/>
          <w:b/>
          <w:bCs/>
          <w:sz w:val="24"/>
          <w:szCs w:val="24"/>
        </w:rPr>
        <w:t>II.7.4. Peintures et vernis sur menuiseries bois, métalliques, soubassement des murs intérieurs et extérieurs et clôture</w:t>
      </w:r>
    </w:p>
    <w:p>
      <w:pPr>
        <w:pStyle w:val="11"/>
        <w:tabs>
          <w:tab w:val="left" w:pos="0"/>
        </w:tabs>
        <w:spacing w:after="0" w:line="276" w:lineRule="auto"/>
        <w:rPr>
          <w:rFonts w:ascii="Tw Cen MT" w:hAnsi="Tw Cen MT" w:cs="Arial"/>
          <w:bCs/>
          <w:sz w:val="24"/>
          <w:szCs w:val="24"/>
        </w:rPr>
      </w:pPr>
      <w:r>
        <w:rPr>
          <w:rFonts w:ascii="Tw Cen MT" w:hAnsi="Tw Cen MT" w:cs="Arial"/>
          <w:bCs/>
          <w:sz w:val="24"/>
          <w:szCs w:val="24"/>
        </w:rPr>
        <w:t xml:space="preserve">Les ouvrages en bois directement en contact avec l’humidité ambiante extérieure seront systématiquement recouverts de peinture glycérophtalique en deux couches. </w:t>
      </w:r>
    </w:p>
    <w:p>
      <w:pPr>
        <w:pStyle w:val="11"/>
        <w:tabs>
          <w:tab w:val="left" w:pos="0"/>
        </w:tabs>
        <w:spacing w:after="0" w:line="276" w:lineRule="auto"/>
        <w:rPr>
          <w:rFonts w:ascii="Tw Cen MT" w:hAnsi="Tw Cen MT" w:cs="Arial"/>
          <w:bCs/>
          <w:sz w:val="24"/>
          <w:szCs w:val="24"/>
        </w:rPr>
      </w:pPr>
      <w:r>
        <w:rPr>
          <w:rFonts w:ascii="Tw Cen MT" w:hAnsi="Tw Cen MT" w:cs="Arial"/>
          <w:bCs/>
          <w:sz w:val="24"/>
          <w:szCs w:val="24"/>
        </w:rPr>
        <w:t xml:space="preserve">Les menuiseries métalliques enduites de la peinture antirouille devront être nettoyées de toutes impuretés ainsi que des dépôts de mortier ou de barbotine avant application des peintures. </w:t>
      </w:r>
    </w:p>
    <w:p>
      <w:pPr>
        <w:spacing w:before="120" w:after="120"/>
        <w:ind w:right="524"/>
        <w:jc w:val="both"/>
        <w:rPr>
          <w:rFonts w:ascii="Tw Cen MT" w:hAnsi="Tw Cen MT" w:cs="Arial"/>
        </w:rPr>
      </w:pPr>
      <w:r>
        <w:rPr>
          <w:rFonts w:ascii="Tw Cen MT" w:hAnsi="Tw Cen MT" w:cs="Arial"/>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pPr>
        <w:pStyle w:val="11"/>
        <w:tabs>
          <w:tab w:val="left" w:pos="0"/>
        </w:tabs>
        <w:spacing w:line="276" w:lineRule="auto"/>
        <w:rPr>
          <w:rFonts w:ascii="Tw Cen MT" w:hAnsi="Tw Cen MT" w:cs="Arial"/>
          <w:bCs/>
          <w:sz w:val="24"/>
          <w:szCs w:val="24"/>
        </w:rPr>
      </w:pPr>
      <w:r>
        <w:rPr>
          <w:rFonts w:ascii="Tw Cen MT" w:hAnsi="Tw Cen MT" w:cs="Arial"/>
          <w:sz w:val="24"/>
          <w:szCs w:val="24"/>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r>
        <w:rPr>
          <w:rFonts w:ascii="Tw Cen MT" w:hAnsi="Tw Cen MT" w:cs="Arial"/>
          <w:bCs/>
          <w:sz w:val="24"/>
          <w:szCs w:val="24"/>
        </w:rPr>
        <w:t xml:space="preserve"> </w:t>
      </w:r>
    </w:p>
    <w:p>
      <w:pPr>
        <w:pStyle w:val="11"/>
        <w:tabs>
          <w:tab w:val="left" w:pos="0"/>
        </w:tabs>
        <w:spacing w:line="276" w:lineRule="auto"/>
        <w:rPr>
          <w:rFonts w:ascii="Tw Cen MT" w:hAnsi="Tw Cen MT" w:cs="Arial"/>
          <w:bCs/>
          <w:sz w:val="24"/>
          <w:szCs w:val="24"/>
        </w:rPr>
      </w:pPr>
      <w:r>
        <w:rPr>
          <w:rFonts w:ascii="Tw Cen MT" w:hAnsi="Tw Cen MT" w:cs="Arial"/>
          <w:b/>
          <w:bCs/>
          <w:sz w:val="24"/>
          <w:szCs w:val="24"/>
          <w:u w:val="single"/>
        </w:rPr>
        <w:t>N.B</w:t>
      </w:r>
      <w:r>
        <w:rPr>
          <w:rFonts w:ascii="Tw Cen MT" w:hAnsi="Tw Cen MT" w:cs="Arial"/>
          <w:bCs/>
          <w:sz w:val="24"/>
          <w:szCs w:val="24"/>
        </w:rPr>
        <w:t> : L’entrepreneur tiendra compte des erreurs ou des omissions qui résulteraient de l’exploitation des différents documents constitutifs du marché.</w:t>
      </w:r>
    </w:p>
    <w:p>
      <w:pPr>
        <w:spacing w:before="120" w:after="120"/>
        <w:ind w:right="524"/>
        <w:jc w:val="both"/>
        <w:rPr>
          <w:rFonts w:ascii="Tw Cen MT" w:hAnsi="Tw Cen MT" w:cs="Arial"/>
          <w:b/>
        </w:rPr>
      </w:pPr>
      <w:r>
        <w:rPr>
          <w:rFonts w:ascii="Tw Cen MT" w:hAnsi="Tw Cen MT" w:cs="Arial"/>
          <w:b/>
        </w:rPr>
        <w:t>II.7.5. Choix des marques de produits</w:t>
      </w:r>
    </w:p>
    <w:p>
      <w:pPr>
        <w:spacing w:before="120" w:after="120"/>
        <w:ind w:right="524"/>
        <w:jc w:val="both"/>
        <w:rPr>
          <w:rFonts w:ascii="Tw Cen MT" w:hAnsi="Tw Cen MT" w:cs="Arial"/>
        </w:rPr>
      </w:pPr>
      <w:r>
        <w:rPr>
          <w:rFonts w:ascii="Tw Cen MT" w:hAnsi="Tw Cen MT" w:cs="Arial"/>
        </w:rPr>
        <w:t>Afin de poser des termes qualitatifs de référence, le présent cahier cite des marques de produits. Toute modification des marques citées doit faire l'objet d’une approbation écrite du Chef de service du marché ou de l’ingénieur.</w:t>
      </w:r>
    </w:p>
    <w:p>
      <w:pPr>
        <w:spacing w:before="120" w:after="120"/>
        <w:ind w:right="524"/>
        <w:jc w:val="both"/>
        <w:rPr>
          <w:rFonts w:ascii="Tw Cen MT" w:hAnsi="Tw Cen MT" w:cs="Arial"/>
        </w:rPr>
      </w:pPr>
      <w:r>
        <w:rPr>
          <w:rFonts w:ascii="Tw Cen MT" w:hAnsi="Tw Cen MT" w:cs="Arial"/>
        </w:rPr>
        <w:t>Dans tous les cas, l’entrepreneur doit :</w:t>
      </w:r>
    </w:p>
    <w:p>
      <w:pPr>
        <w:numPr>
          <w:ilvl w:val="0"/>
          <w:numId w:val="83"/>
        </w:numPr>
        <w:tabs>
          <w:tab w:val="left" w:pos="993"/>
          <w:tab w:val="clear" w:pos="1068"/>
        </w:tabs>
        <w:spacing w:before="120" w:after="120"/>
        <w:ind w:left="993" w:right="522" w:hanging="284"/>
        <w:jc w:val="both"/>
        <w:rPr>
          <w:rFonts w:ascii="Tw Cen MT" w:hAnsi="Tw Cen MT" w:cs="Arial"/>
        </w:rPr>
      </w:pPr>
      <w:r>
        <w:rPr>
          <w:rFonts w:ascii="Tw Cen MT" w:hAnsi="Tw Cen MT" w:cs="Arial"/>
        </w:rPr>
        <w:t>justifier les raisons des changements qu'il propose</w:t>
      </w:r>
    </w:p>
    <w:p>
      <w:pPr>
        <w:numPr>
          <w:ilvl w:val="0"/>
          <w:numId w:val="83"/>
        </w:numPr>
        <w:tabs>
          <w:tab w:val="left" w:pos="993"/>
          <w:tab w:val="clear" w:pos="1068"/>
        </w:tabs>
        <w:spacing w:before="120" w:after="120"/>
        <w:ind w:left="993" w:right="522" w:hanging="284"/>
        <w:jc w:val="both"/>
        <w:rPr>
          <w:rFonts w:ascii="Tw Cen MT" w:hAnsi="Tw Cen MT" w:cs="Arial"/>
        </w:rPr>
      </w:pPr>
      <w:r>
        <w:rPr>
          <w:rFonts w:ascii="Tw Cen MT" w:hAnsi="Tw Cen MT" w:cs="Arial"/>
        </w:rPr>
        <w:t>produire les notices techniques correspondantes</w:t>
      </w:r>
    </w:p>
    <w:p>
      <w:pPr>
        <w:numPr>
          <w:ilvl w:val="0"/>
          <w:numId w:val="83"/>
        </w:numPr>
        <w:tabs>
          <w:tab w:val="left" w:pos="993"/>
          <w:tab w:val="clear" w:pos="1068"/>
        </w:tabs>
        <w:spacing w:before="120" w:after="120"/>
        <w:ind w:left="993" w:right="522" w:hanging="284"/>
        <w:jc w:val="both"/>
        <w:rPr>
          <w:rFonts w:ascii="Tw Cen MT" w:hAnsi="Tw Cen MT" w:cs="Arial"/>
        </w:rPr>
      </w:pPr>
      <w:r>
        <w:rPr>
          <w:rFonts w:ascii="Tw Cen MT" w:hAnsi="Tw Cen MT" w:cs="Arial"/>
        </w:rPr>
        <w:t>démontrer l'équivalence de qualité</w:t>
      </w:r>
    </w:p>
    <w:p>
      <w:pPr>
        <w:numPr>
          <w:ilvl w:val="0"/>
          <w:numId w:val="83"/>
        </w:numPr>
        <w:tabs>
          <w:tab w:val="left" w:pos="993"/>
          <w:tab w:val="clear" w:pos="1068"/>
        </w:tabs>
        <w:spacing w:before="120" w:after="120"/>
        <w:ind w:left="993" w:right="522" w:hanging="284"/>
        <w:jc w:val="both"/>
        <w:rPr>
          <w:rFonts w:ascii="Tw Cen MT" w:hAnsi="Tw Cen MT" w:cs="Arial"/>
        </w:rPr>
      </w:pPr>
      <w:r>
        <w:rPr>
          <w:rFonts w:ascii="Tw Cen MT" w:hAnsi="Tw Cen MT" w:cs="Arial"/>
        </w:rPr>
        <w:t>adapter s'il y a lieu les méthodes d'exécution.</w:t>
      </w:r>
    </w:p>
    <w:p>
      <w:pPr>
        <w:spacing w:before="120" w:after="120"/>
        <w:ind w:right="524"/>
        <w:jc w:val="both"/>
        <w:rPr>
          <w:rFonts w:ascii="Tw Cen MT" w:hAnsi="Tw Cen MT" w:cs="Arial"/>
          <w:b/>
        </w:rPr>
      </w:pPr>
      <w:r>
        <w:rPr>
          <w:rFonts w:ascii="Tw Cen MT" w:hAnsi="Tw Cen MT" w:cs="Arial"/>
          <w:b/>
        </w:rPr>
        <w:t xml:space="preserve">II.7.6. Garantie des peintures </w:t>
      </w:r>
    </w:p>
    <w:p>
      <w:pPr>
        <w:spacing w:before="120" w:after="120"/>
        <w:ind w:right="-37"/>
        <w:jc w:val="both"/>
        <w:rPr>
          <w:rFonts w:ascii="Tw Cen MT" w:hAnsi="Tw Cen MT" w:cs="Arial"/>
        </w:rPr>
      </w:pPr>
      <w:r>
        <w:rPr>
          <w:rFonts w:ascii="Tw Cen MT" w:hAnsi="Tw Cen MT" w:cs="Arial"/>
        </w:rPr>
        <w:t>L'expérience a permis de constater que les défauts caractéristiques (cloques, écaillages, feuillage, craquelures, modifications de la matité ou du brillant, décollement, farinages, etc.) apparaissent sur les peintures dans un délai de plusieurs années, lorsqu'elles sont de mauvaise qualité ou lorsque les travaux ont été mal exécutés.</w:t>
      </w:r>
    </w:p>
    <w:p>
      <w:pPr>
        <w:spacing w:before="120" w:after="120"/>
        <w:ind w:right="-37"/>
        <w:jc w:val="both"/>
        <w:rPr>
          <w:rFonts w:ascii="Tw Cen MT" w:hAnsi="Tw Cen MT" w:cs="Arial"/>
        </w:rPr>
      </w:pPr>
      <w:r>
        <w:rPr>
          <w:rFonts w:ascii="Tw Cen MT" w:hAnsi="Tw Cen MT" w:cs="Arial"/>
        </w:rPr>
        <w:t>En conséquence, pendant la période de garantie, le cocontractant demeure responsable de toute malfaçon ou défaut apparu sur les ouvrages peints.</w:t>
      </w:r>
    </w:p>
    <w:p>
      <w:pPr>
        <w:spacing w:before="120" w:after="120"/>
        <w:ind w:right="-37"/>
        <w:jc w:val="both"/>
        <w:rPr>
          <w:rFonts w:ascii="Tw Cen MT" w:hAnsi="Tw Cen MT" w:cs="Arial"/>
        </w:rPr>
      </w:pPr>
      <w:r>
        <w:rPr>
          <w:rFonts w:ascii="Tw Cen MT" w:hAnsi="Tw Cen MT" w:cs="Arial"/>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pPr>
        <w:spacing w:before="120" w:after="120"/>
        <w:ind w:right="-37"/>
        <w:jc w:val="both"/>
        <w:rPr>
          <w:rFonts w:ascii="Tw Cen MT" w:hAnsi="Tw Cen MT" w:cs="Arial"/>
        </w:rPr>
      </w:pPr>
      <w:r>
        <w:rPr>
          <w:rFonts w:ascii="Tw Cen MT" w:hAnsi="Tw Cen MT" w:cs="Arial"/>
          <w:b/>
        </w:rPr>
        <w:t>II.7.7. Raccords des peintures</w:t>
      </w:r>
    </w:p>
    <w:p>
      <w:pPr>
        <w:spacing w:before="120" w:after="120"/>
        <w:ind w:right="-37"/>
        <w:jc w:val="both"/>
        <w:rPr>
          <w:rFonts w:ascii="Tw Cen MT" w:hAnsi="Tw Cen MT" w:cs="Arial"/>
        </w:rPr>
      </w:pPr>
      <w:r>
        <w:rPr>
          <w:rFonts w:ascii="Tw Cen MT" w:hAnsi="Tw Cen MT" w:cs="Arial"/>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pPr>
        <w:spacing w:before="120" w:after="120"/>
        <w:ind w:right="524"/>
        <w:jc w:val="both"/>
        <w:rPr>
          <w:rFonts w:ascii="Tw Cen MT" w:hAnsi="Tw Cen MT" w:cs="Arial"/>
          <w:b/>
        </w:rPr>
      </w:pPr>
      <w:r>
        <w:rPr>
          <w:rFonts w:ascii="Tw Cen MT" w:hAnsi="Tw Cen MT" w:cs="Arial"/>
          <w:b/>
        </w:rPr>
        <w:t>II.7.8.</w:t>
      </w:r>
      <w:r>
        <w:rPr>
          <w:rFonts w:ascii="Tw Cen MT" w:hAnsi="Tw Cen MT" w:cs="Arial"/>
        </w:rPr>
        <w:t xml:space="preserve"> </w:t>
      </w:r>
      <w:r>
        <w:rPr>
          <w:rFonts w:ascii="Tw Cen MT" w:hAnsi="Tw Cen MT" w:cs="Arial"/>
          <w:b/>
        </w:rPr>
        <w:t>Mise en œuvre des produits de peinture</w:t>
      </w:r>
    </w:p>
    <w:p>
      <w:pPr>
        <w:spacing w:before="120" w:after="120"/>
        <w:ind w:right="-37"/>
        <w:jc w:val="both"/>
        <w:rPr>
          <w:rFonts w:ascii="Tw Cen MT" w:hAnsi="Tw Cen MT" w:cs="Arial"/>
        </w:rPr>
      </w:pPr>
      <w:r>
        <w:rPr>
          <w:rFonts w:ascii="Tw Cen MT" w:hAnsi="Tw Cen MT" w:cs="Arial"/>
        </w:rPr>
        <w:t>Les enduits et peintures seront exécutés dans les conditions ambiantes requises (notices techniques des fabricants).</w:t>
      </w:r>
    </w:p>
    <w:p>
      <w:pPr>
        <w:spacing w:before="120" w:after="120"/>
        <w:ind w:right="-37"/>
        <w:jc w:val="both"/>
        <w:rPr>
          <w:rFonts w:ascii="Tw Cen MT" w:hAnsi="Tw Cen MT" w:cs="Arial"/>
        </w:rPr>
      </w:pPr>
      <w:r>
        <w:rPr>
          <w:rFonts w:ascii="Tw Cen MT" w:hAnsi="Tw Cen MT" w:cs="Arial"/>
        </w:rPr>
        <w:t xml:space="preserve">Sur les ouvrages en béton et les enduits en mortier, les peintures ne doivent être appliquées que lorsque le subjectile présente un pH inférieur à </w:t>
      </w:r>
      <w:r>
        <w:rPr>
          <w:rFonts w:ascii="Tw Cen MT" w:hAnsi="Tw Cen MT" w:cs="Arial"/>
          <w:b/>
        </w:rPr>
        <w:t>8</w:t>
      </w:r>
      <w:r>
        <w:rPr>
          <w:rFonts w:ascii="Tw Cen MT" w:hAnsi="Tw Cen MT" w:cs="Arial"/>
        </w:rPr>
        <w:t>, ce qui exige un contrôle systématique. En cas d'humidité, si le respect du planning l'impose, le Cocontractant sera tenu d'appliquer une impression spéciale hydrofuge pour isoler les subjectiles en cause.</w:t>
      </w:r>
    </w:p>
    <w:p>
      <w:pPr>
        <w:spacing w:before="120" w:after="120"/>
        <w:ind w:right="-82"/>
        <w:jc w:val="both"/>
        <w:rPr>
          <w:rFonts w:ascii="Tw Cen MT" w:hAnsi="Tw Cen MT" w:cs="Arial"/>
        </w:rPr>
      </w:pPr>
      <w:r>
        <w:rPr>
          <w:rFonts w:ascii="Tw Cen MT" w:hAnsi="Tw Cen MT" w:cs="Arial"/>
        </w:rPr>
        <w:t xml:space="preserve">Le Cocontractant doit assurer la protection nécessaire de tous les ouvrages pendant l'exécution de ses travaux. </w:t>
      </w:r>
    </w:p>
    <w:p>
      <w:pPr>
        <w:spacing w:before="120" w:after="120"/>
        <w:ind w:right="-82"/>
        <w:jc w:val="both"/>
        <w:rPr>
          <w:rFonts w:ascii="Tw Cen MT" w:hAnsi="Tw Cen MT" w:cs="Arial"/>
        </w:rPr>
      </w:pPr>
      <w:r>
        <w:rPr>
          <w:rFonts w:ascii="Tw Cen MT" w:hAnsi="Tw Cen MT" w:cs="Arial"/>
        </w:rPr>
        <w:t>Au fur et à mesure de l’évolution de ses travaux, l’entrepreneur procédera au nettoyage des locaux pour faire disparaître les taches d'enduit</w:t>
      </w:r>
      <w:bookmarkStart w:id="183" w:name="_Toc463358740"/>
      <w:r>
        <w:rPr>
          <w:rFonts w:ascii="Tw Cen MT" w:hAnsi="Tw Cen MT" w:cs="Arial"/>
        </w:rPr>
        <w:t xml:space="preserve"> ou peinture sur tous ouvrages.</w:t>
      </w:r>
    </w:p>
    <w:p>
      <w:pPr>
        <w:tabs>
          <w:tab w:val="left" w:pos="560"/>
          <w:tab w:val="left" w:pos="980"/>
          <w:tab w:val="left" w:pos="1660"/>
          <w:tab w:val="left" w:pos="1940"/>
        </w:tabs>
        <w:spacing w:before="120" w:after="120"/>
        <w:jc w:val="both"/>
        <w:rPr>
          <w:rFonts w:ascii="Tw Cen MT" w:hAnsi="Tw Cen MT" w:cs="Arial"/>
          <w:b/>
        </w:rPr>
      </w:pPr>
      <w:r>
        <w:rPr>
          <w:rFonts w:ascii="Tw Cen MT" w:hAnsi="Tw Cen MT" w:cs="Segoe UI Semibold"/>
          <w:b/>
        </w:rPr>
        <w:t>II.11. VRD</w:t>
      </w:r>
    </w:p>
    <w:p>
      <w:pPr>
        <w:spacing w:before="120" w:after="120"/>
        <w:jc w:val="both"/>
        <w:rPr>
          <w:rFonts w:ascii="Tw Cen MT" w:hAnsi="Tw Cen MT" w:cs="Segoe UI"/>
          <w:b/>
          <w:color w:val="000000"/>
          <w:sz w:val="20"/>
          <w:szCs w:val="20"/>
        </w:rPr>
      </w:pPr>
      <w:r>
        <w:rPr>
          <w:rFonts w:ascii="Tw Cen MT" w:hAnsi="Tw Cen MT" w:cs="Arial"/>
          <w:b/>
        </w:rPr>
        <w:t xml:space="preserve">II.11.1. </w:t>
      </w:r>
      <w:r>
        <w:rPr>
          <w:rFonts w:ascii="Tw Cen MT" w:hAnsi="Tw Cen MT" w:cs="Segoe UI"/>
          <w:b/>
          <w:color w:val="000000"/>
          <w:sz w:val="20"/>
          <w:szCs w:val="20"/>
        </w:rPr>
        <w:t>Caniveaux</w:t>
      </w:r>
    </w:p>
    <w:p>
      <w:pPr>
        <w:spacing w:before="120" w:after="120"/>
        <w:jc w:val="both"/>
        <w:rPr>
          <w:rFonts w:ascii="Tw Cen MT" w:hAnsi="Tw Cen MT" w:cs="Arial"/>
        </w:rPr>
      </w:pPr>
      <w:r>
        <w:rPr>
          <w:rFonts w:ascii="Tw Cen MT" w:hAnsi="Tw Cen MT" w:cs="Arial"/>
        </w:rPr>
        <w:t xml:space="preserve">Il sera exécuté autour des bâtiments des caniveaux en maçonnerie d’agglos bourrés de 15x20x40, en U, de 40 cm de large et 30cm de profondeur, avec fond coulé, lissé à l’aide d’un mortier de ciment ordinaire dosé à 400kg/m3, épaisseur des parois de 8cm. </w:t>
      </w:r>
    </w:p>
    <w:p>
      <w:pPr>
        <w:spacing w:before="120" w:after="120"/>
        <w:jc w:val="both"/>
        <w:rPr>
          <w:rFonts w:ascii="Tw Cen MT" w:hAnsi="Tw Cen MT" w:cs="Arial"/>
        </w:rPr>
      </w:pPr>
      <w:r>
        <w:rPr>
          <w:rFonts w:ascii="Tw Cen MT" w:hAnsi="Tw Cen MT" w:cs="Arial"/>
        </w:rPr>
        <w:t>Une pente minimale de 2% sera exécutée au fond desdits caniveaux, pour faciliter l’écoulement des eaux.</w:t>
      </w:r>
    </w:p>
    <w:bookmarkEnd w:id="183"/>
    <w:p>
      <w:pPr>
        <w:keepNext/>
        <w:spacing w:before="120" w:after="240"/>
        <w:jc w:val="both"/>
        <w:rPr>
          <w:rFonts w:ascii="Tw Cen MT" w:hAnsi="Tw Cen MT" w:cs="Arial"/>
          <w:b/>
          <w:vertAlign w:val="superscript"/>
        </w:rPr>
      </w:pPr>
      <w:r>
        <w:rPr>
          <w:rFonts w:ascii="Tw Cen MT" w:hAnsi="Tw Cen MT" w:cs="Arial"/>
        </w:rPr>
        <w:t xml:space="preserve">Ce dallage sera en béton ordinaire dosé à </w:t>
      </w:r>
      <w:r>
        <w:rPr>
          <w:rFonts w:ascii="Tw Cen MT" w:hAnsi="Tw Cen MT" w:cs="Arial"/>
          <w:b/>
        </w:rPr>
        <w:t>350 kg/m</w:t>
      </w:r>
      <w:r>
        <w:rPr>
          <w:rFonts w:ascii="Tw Cen MT" w:hAnsi="Tw Cen MT" w:cs="Arial"/>
          <w:b/>
          <w:vertAlign w:val="superscript"/>
        </w:rPr>
        <w:t xml:space="preserve">3. </w:t>
      </w:r>
    </w:p>
    <w:p>
      <w:pPr>
        <w:pStyle w:val="11"/>
        <w:tabs>
          <w:tab w:val="left" w:pos="0"/>
        </w:tabs>
        <w:spacing w:line="276" w:lineRule="auto"/>
        <w:rPr>
          <w:rFonts w:ascii="Tw Cen MT" w:hAnsi="Tw Cen MT" w:cs="Segoe UI Semibold"/>
          <w:b/>
          <w:sz w:val="24"/>
          <w:szCs w:val="24"/>
        </w:rPr>
      </w:pPr>
      <w:r>
        <w:rPr>
          <w:rFonts w:ascii="Tw Cen MT" w:hAnsi="Tw Cen MT" w:cs="Segoe UI Semibold"/>
          <w:b/>
          <w:sz w:val="24"/>
          <w:szCs w:val="24"/>
          <w:u w:val="single"/>
        </w:rPr>
        <w:t>NB</w:t>
      </w:r>
      <w:r>
        <w:rPr>
          <w:rFonts w:ascii="Tw Cen MT" w:hAnsi="Tw Cen MT" w:cs="Segoe UI Semibold"/>
          <w:b/>
          <w:sz w:val="24"/>
          <w:szCs w:val="24"/>
        </w:rPr>
        <w:t> : le cocontractant tiendra compte des erreurs ou omissions qui résulteraient de l’exploitation des différents documents constitutifs du Marché.</w:t>
      </w:r>
    </w:p>
    <w:p>
      <w:pPr>
        <w:pStyle w:val="11"/>
        <w:tabs>
          <w:tab w:val="left" w:pos="0"/>
        </w:tabs>
        <w:spacing w:line="276" w:lineRule="auto"/>
        <w:jc w:val="center"/>
        <w:rPr>
          <w:rFonts w:ascii="Tw Cen MT" w:hAnsi="Tw Cen MT" w:cs="Segoe UI Semibold"/>
          <w:b/>
          <w:sz w:val="24"/>
          <w:szCs w:val="24"/>
        </w:rPr>
      </w:pPr>
    </w:p>
    <w:p>
      <w:pPr>
        <w:pStyle w:val="11"/>
        <w:tabs>
          <w:tab w:val="left" w:pos="0"/>
        </w:tabs>
        <w:spacing w:line="276" w:lineRule="auto"/>
        <w:jc w:val="center"/>
        <w:rPr>
          <w:rFonts w:ascii="Tw Cen MT" w:hAnsi="Tw Cen MT" w:cs="Arial"/>
          <w:b/>
          <w:bCs/>
          <w:sz w:val="24"/>
          <w:szCs w:val="24"/>
        </w:rPr>
      </w:pPr>
      <w:r>
        <w:rPr>
          <w:rFonts w:ascii="Tw Cen MT" w:hAnsi="Tw Cen MT" w:cs="Segoe UI Semibold"/>
          <w:b/>
          <w:sz w:val="24"/>
          <w:szCs w:val="24"/>
        </w:rPr>
        <w:t xml:space="preserve">CHAPITRE 3 : </w:t>
      </w:r>
      <w:r>
        <w:rPr>
          <w:rFonts w:ascii="Tw Cen MT" w:hAnsi="Tw Cen MT" w:cs="Segoe UI Semibold"/>
          <w:b/>
          <w:bCs/>
          <w:sz w:val="24"/>
          <w:szCs w:val="24"/>
        </w:rPr>
        <w:t>ASPECTS SOCIO-ENVIRONNEMENTAUX</w:t>
      </w:r>
    </w:p>
    <w:p>
      <w:pPr>
        <w:pStyle w:val="11"/>
        <w:tabs>
          <w:tab w:val="left" w:pos="0"/>
        </w:tabs>
        <w:spacing w:line="276" w:lineRule="auto"/>
        <w:rPr>
          <w:rFonts w:ascii="Tw Cen MT" w:hAnsi="Tw Cen MT" w:cs="Segoe UI Semibold"/>
          <w:b/>
          <w:bCs/>
          <w:sz w:val="24"/>
          <w:szCs w:val="24"/>
        </w:rPr>
      </w:pPr>
      <w:r>
        <w:rPr>
          <w:rFonts w:ascii="Tw Cen MT" w:hAnsi="Tw Cen MT" w:cs="Segoe UI Semibold"/>
          <w:b/>
          <w:bCs/>
          <w:sz w:val="24"/>
          <w:szCs w:val="24"/>
        </w:rPr>
        <w:t>III.1. PRISE EN COMPTE DES ASPECTS SOCIO-ENVIRONNEMENTAUX DU PROJET</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Afin d’atténuer les impacts sur l’environnement pendant et après la réalisation du microprojet, les actions suivantes doivent être respectées :</w:t>
      </w:r>
    </w:p>
    <w:p>
      <w:pPr>
        <w:pStyle w:val="11"/>
        <w:numPr>
          <w:ilvl w:val="0"/>
          <w:numId w:val="84"/>
        </w:numPr>
        <w:tabs>
          <w:tab w:val="left" w:pos="0"/>
        </w:tabs>
        <w:suppressAutoHyphens/>
        <w:autoSpaceDN w:val="0"/>
        <w:spacing w:line="276" w:lineRule="auto"/>
        <w:jc w:val="both"/>
        <w:textAlignment w:val="baseline"/>
        <w:rPr>
          <w:rFonts w:ascii="Tw Cen MT" w:hAnsi="Tw Cen MT" w:cs="Arial"/>
          <w:b/>
          <w:bCs/>
          <w:sz w:val="24"/>
          <w:szCs w:val="24"/>
        </w:rPr>
      </w:pPr>
      <w:r>
        <w:rPr>
          <w:rFonts w:ascii="Tw Cen MT" w:hAnsi="Tw Cen MT" w:cs="Arial"/>
          <w:b/>
          <w:bCs/>
          <w:sz w:val="24"/>
          <w:szCs w:val="24"/>
        </w:rPr>
        <w:t xml:space="preserve">Elaboration d’un plan de gestion des mesures socio-environnementales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Avant le démarrage effectif des travaux, l’entreprise doit préparer un plan de gestion environnementale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w:t>
      </w:r>
      <w:r>
        <w:rPr>
          <w:rFonts w:ascii="Tw Cen MT" w:hAnsi="Tw Cen MT" w:cs="Arial"/>
          <w:b/>
          <w:bCs/>
          <w:sz w:val="24"/>
          <w:szCs w:val="24"/>
        </w:rPr>
        <w:t>IST/SIDA</w:t>
      </w:r>
      <w:r>
        <w:rPr>
          <w:rFonts w:ascii="Tw Cen MT" w:hAnsi="Tw Cen MT" w:cs="Arial"/>
          <w:bCs/>
          <w:sz w:val="24"/>
          <w:szCs w:val="24"/>
        </w:rPr>
        <w:t xml:space="preserve">, au respect des droits et coutumes des populations de la région. Ce règlement doit être affiché au sein de l’entreprise.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Les différentes mesures socio-environnementales à prendre en compte, lors de la réalisation du présent projet sont : </w:t>
      </w:r>
    </w:p>
    <w:p>
      <w:pPr>
        <w:pStyle w:val="11"/>
        <w:numPr>
          <w:ilvl w:val="0"/>
          <w:numId w:val="8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 xml:space="preserve">la sécurité du personnel sur le chantier et les usagers ; </w:t>
      </w:r>
    </w:p>
    <w:p>
      <w:pPr>
        <w:pStyle w:val="11"/>
        <w:numPr>
          <w:ilvl w:val="0"/>
          <w:numId w:val="85"/>
        </w:numPr>
        <w:tabs>
          <w:tab w:val="left" w:pos="0"/>
        </w:tabs>
        <w:suppressAutoHyphens/>
        <w:spacing w:after="0" w:line="276" w:lineRule="auto"/>
        <w:jc w:val="both"/>
        <w:rPr>
          <w:rFonts w:ascii="Tw Cen MT" w:hAnsi="Tw Cen MT" w:cs="Arial"/>
          <w:bCs/>
          <w:sz w:val="24"/>
          <w:szCs w:val="24"/>
          <w:lang w:val="en-US"/>
        </w:rPr>
      </w:pPr>
      <w:r>
        <w:rPr>
          <w:rFonts w:ascii="Tw Cen MT" w:hAnsi="Tw Cen MT" w:cs="Arial"/>
          <w:bCs/>
          <w:sz w:val="24"/>
          <w:szCs w:val="24"/>
        </w:rPr>
        <w:t xml:space="preserve">la gestion des déchets ; </w:t>
      </w:r>
    </w:p>
    <w:p>
      <w:pPr>
        <w:pStyle w:val="11"/>
        <w:numPr>
          <w:ilvl w:val="0"/>
          <w:numId w:val="8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 gestion des déchets solides et liquides ;</w:t>
      </w:r>
    </w:p>
    <w:p>
      <w:pPr>
        <w:pStyle w:val="11"/>
        <w:numPr>
          <w:ilvl w:val="0"/>
          <w:numId w:val="8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 gestion des ressources en eau ;</w:t>
      </w:r>
    </w:p>
    <w:p>
      <w:pPr>
        <w:pStyle w:val="11"/>
        <w:numPr>
          <w:ilvl w:val="0"/>
          <w:numId w:val="8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 réparation des dommages causés aux tiers ;</w:t>
      </w:r>
    </w:p>
    <w:p>
      <w:pPr>
        <w:pStyle w:val="11"/>
        <w:numPr>
          <w:ilvl w:val="0"/>
          <w:numId w:val="85"/>
        </w:numPr>
        <w:tabs>
          <w:tab w:val="left" w:pos="0"/>
        </w:tabs>
        <w:suppressAutoHyphens/>
        <w:spacing w:after="0" w:line="276" w:lineRule="auto"/>
        <w:jc w:val="both"/>
        <w:rPr>
          <w:rFonts w:ascii="Tw Cen MT" w:hAnsi="Tw Cen MT" w:cs="Arial"/>
          <w:bCs/>
          <w:sz w:val="24"/>
          <w:szCs w:val="24"/>
          <w:u w:val="single"/>
        </w:rPr>
      </w:pPr>
      <w:r>
        <w:rPr>
          <w:rFonts w:ascii="Tw Cen MT" w:hAnsi="Tw Cen MT" w:cs="Arial"/>
          <w:bCs/>
          <w:sz w:val="24"/>
          <w:szCs w:val="24"/>
        </w:rPr>
        <w:t>L’ouverture et exploitation des carrières et zones d’emprunt</w:t>
      </w:r>
    </w:p>
    <w:p>
      <w:pPr>
        <w:pStyle w:val="11"/>
        <w:numPr>
          <w:ilvl w:val="0"/>
          <w:numId w:val="85"/>
        </w:numPr>
        <w:tabs>
          <w:tab w:val="left" w:pos="0"/>
        </w:tabs>
        <w:suppressAutoHyphens/>
        <w:spacing w:after="0" w:line="276" w:lineRule="auto"/>
        <w:jc w:val="both"/>
        <w:rPr>
          <w:rFonts w:ascii="Tw Cen MT" w:hAnsi="Tw Cen MT" w:cs="Arial"/>
          <w:bCs/>
          <w:sz w:val="24"/>
          <w:szCs w:val="24"/>
        </w:rPr>
      </w:pPr>
      <w:r>
        <w:rPr>
          <w:rFonts w:ascii="Tw Cen MT" w:hAnsi="Tw Cen MT" w:cs="Arial"/>
          <w:bCs/>
          <w:sz w:val="24"/>
          <w:szCs w:val="24"/>
        </w:rPr>
        <w:t>La remise en état des sites et repli de chantier.</w:t>
      </w:r>
    </w:p>
    <w:p>
      <w:pPr>
        <w:pStyle w:val="11"/>
        <w:tabs>
          <w:tab w:val="left" w:pos="0"/>
        </w:tabs>
        <w:spacing w:line="276" w:lineRule="auto"/>
        <w:rPr>
          <w:rFonts w:ascii="Tw Cen MT" w:hAnsi="Tw Cen MT" w:cs="Arial"/>
          <w:bCs/>
          <w:sz w:val="2"/>
          <w:szCs w:val="24"/>
        </w:rPr>
      </w:pPr>
    </w:p>
    <w:p>
      <w:pPr>
        <w:pStyle w:val="11"/>
        <w:numPr>
          <w:ilvl w:val="0"/>
          <w:numId w:val="84"/>
        </w:numPr>
        <w:tabs>
          <w:tab w:val="left" w:pos="0"/>
        </w:tabs>
        <w:suppressAutoHyphens/>
        <w:spacing w:line="276" w:lineRule="auto"/>
        <w:ind w:left="714" w:hanging="357"/>
        <w:jc w:val="both"/>
        <w:rPr>
          <w:rFonts w:ascii="Tw Cen MT" w:hAnsi="Tw Cen MT" w:cs="Arial"/>
          <w:b/>
          <w:bCs/>
          <w:sz w:val="24"/>
          <w:szCs w:val="24"/>
        </w:rPr>
      </w:pPr>
      <w:r>
        <w:rPr>
          <w:rFonts w:ascii="Tw Cen MT" w:hAnsi="Tw Cen MT" w:cs="Arial"/>
          <w:b/>
          <w:bCs/>
          <w:sz w:val="24"/>
          <w:szCs w:val="24"/>
        </w:rPr>
        <w:t>La sécurité du personnel sur le chantier et les usagers</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Les mesures de sécurité du personnel sur le chantier et les usagers à observer sont celles visant à préserver la santé du personnel travaillant sur le chantier ainsi que celles des riverains du site du chantier et à prévenir tout accident de travail sur le chantier.</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Ces mesures sont notamment : le port des équipements de protection individuel (combinaison de travail, chaussures de sécurité, gants, casques, cache-nez,…) par les personnels de l’entreprise sur le chantier, la limitation des sources poussières et la signalisation des risques et dangers potentiels sur le chantier. L’entreprise est astreinte à fournir tous ces matériels sur le chantier en nombre suffisant et l’ingénieur du marché est chargé de veiller au respect strict de ces mesures de sécurité.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L’entreprise veillera également à la limitation des vitesses des différents véhicules et engins (30 km/h maximum) dans l’enceinte du site des travaux. De même, elle devra veiller à ce que toutes les déviations temporaires sont identifiées en collaboration avec les riverains, et n’affectent pas les zones sensibles.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En plus des panneaux d’indication du chantier portant les références du projet, il revient aussi à l’entreprise d’installer des panneaux de sécurité comme ceux interdisant l’accès au chantier par des personnes étrangères ou ceux relatifs à la circulation (sortie des camions, limitation de vitesse, attention travaux, etc.…). </w:t>
      </w:r>
    </w:p>
    <w:p>
      <w:pPr>
        <w:pStyle w:val="11"/>
        <w:numPr>
          <w:ilvl w:val="0"/>
          <w:numId w:val="84"/>
        </w:numPr>
        <w:tabs>
          <w:tab w:val="left" w:pos="0"/>
        </w:tabs>
        <w:suppressAutoHyphens/>
        <w:spacing w:line="276" w:lineRule="auto"/>
        <w:ind w:left="714" w:hanging="357"/>
        <w:jc w:val="both"/>
        <w:rPr>
          <w:rFonts w:ascii="Tw Cen MT" w:hAnsi="Tw Cen MT" w:cs="Arial"/>
          <w:b/>
          <w:bCs/>
          <w:sz w:val="24"/>
          <w:szCs w:val="24"/>
        </w:rPr>
      </w:pPr>
      <w:r>
        <w:rPr>
          <w:rFonts w:ascii="Tw Cen MT" w:hAnsi="Tw Cen MT" w:cs="Arial"/>
          <w:b/>
          <w:bCs/>
          <w:sz w:val="24"/>
          <w:szCs w:val="24"/>
        </w:rPr>
        <w:t>La gestion des déchets</w:t>
      </w:r>
    </w:p>
    <w:p>
      <w:pPr>
        <w:pStyle w:val="11"/>
        <w:tabs>
          <w:tab w:val="left" w:pos="0"/>
        </w:tabs>
        <w:spacing w:line="276" w:lineRule="auto"/>
        <w:rPr>
          <w:rFonts w:ascii="Tw Cen MT" w:hAnsi="Tw Cen MT" w:cs="Arial"/>
          <w:bCs/>
          <w:sz w:val="24"/>
          <w:szCs w:val="24"/>
        </w:rPr>
      </w:pPr>
      <w:r>
        <w:rPr>
          <w:rFonts w:ascii="Tw Cen MT" w:hAnsi="Tw Cen MT" w:cs="Arial"/>
          <w:sz w:val="24"/>
          <w:szCs w:val="24"/>
        </w:rPr>
        <w:t>L’entrepreneur veillera à ce que l’ensemble du site et ses abords soient maintenus en bon état de propreté et s’assurera que les déchets produits sont gérés suivant les procédures appropriées et selon la nature de ces derniers. </w:t>
      </w:r>
      <w:r>
        <w:rPr>
          <w:rFonts w:ascii="Tw Cen MT" w:hAnsi="Tw Cen MT" w:cs="Arial"/>
          <w:bCs/>
          <w:sz w:val="24"/>
          <w:szCs w:val="24"/>
        </w:rPr>
        <w:t xml:space="preserve"> </w:t>
      </w:r>
    </w:p>
    <w:p>
      <w:pPr>
        <w:pStyle w:val="11"/>
        <w:numPr>
          <w:ilvl w:val="0"/>
          <w:numId w:val="84"/>
        </w:numPr>
        <w:tabs>
          <w:tab w:val="left" w:pos="0"/>
        </w:tabs>
        <w:suppressAutoHyphens/>
        <w:spacing w:line="276" w:lineRule="auto"/>
        <w:ind w:left="714" w:hanging="357"/>
        <w:jc w:val="both"/>
        <w:rPr>
          <w:rFonts w:ascii="Tw Cen MT" w:hAnsi="Tw Cen MT" w:cs="Arial"/>
          <w:b/>
          <w:bCs/>
          <w:sz w:val="24"/>
          <w:szCs w:val="24"/>
        </w:rPr>
      </w:pPr>
      <w:r>
        <w:rPr>
          <w:rFonts w:ascii="Tw Cen MT" w:hAnsi="Tw Cen MT" w:cs="Arial"/>
          <w:b/>
          <w:bCs/>
          <w:sz w:val="24"/>
          <w:szCs w:val="24"/>
        </w:rPr>
        <w:t>L’assainissement</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La défécation à l’air libre est prohibée sur le site des travaux. </w:t>
      </w:r>
    </w:p>
    <w:p>
      <w:pPr>
        <w:pStyle w:val="11"/>
        <w:numPr>
          <w:ilvl w:val="0"/>
          <w:numId w:val="84"/>
        </w:numPr>
        <w:tabs>
          <w:tab w:val="left" w:pos="0"/>
        </w:tabs>
        <w:suppressAutoHyphens/>
        <w:spacing w:line="276" w:lineRule="auto"/>
        <w:ind w:left="714" w:hanging="357"/>
        <w:jc w:val="both"/>
        <w:rPr>
          <w:rFonts w:ascii="Tw Cen MT" w:hAnsi="Tw Cen MT" w:cs="Arial"/>
          <w:b/>
          <w:bCs/>
          <w:sz w:val="24"/>
          <w:szCs w:val="24"/>
        </w:rPr>
      </w:pPr>
      <w:r>
        <w:rPr>
          <w:rFonts w:ascii="Tw Cen MT" w:hAnsi="Tw Cen MT" w:cs="Arial"/>
          <w:b/>
          <w:bCs/>
          <w:sz w:val="24"/>
          <w:szCs w:val="24"/>
        </w:rPr>
        <w:t>La gestion des ressources en eau</w:t>
      </w:r>
    </w:p>
    <w:p>
      <w:pPr>
        <w:pStyle w:val="11"/>
        <w:tabs>
          <w:tab w:val="left" w:pos="0"/>
        </w:tabs>
        <w:spacing w:after="0" w:line="276" w:lineRule="auto"/>
        <w:rPr>
          <w:rFonts w:ascii="Tw Cen MT" w:hAnsi="Tw Cen MT" w:cs="Arial"/>
          <w:bCs/>
          <w:sz w:val="24"/>
          <w:szCs w:val="24"/>
        </w:rPr>
      </w:pPr>
      <w:r>
        <w:rPr>
          <w:rFonts w:ascii="Tw Cen MT" w:hAnsi="Tw Cen MT" w:cs="Arial"/>
          <w:bCs/>
          <w:sz w:val="24"/>
          <w:szCs w:val="24"/>
        </w:rPr>
        <w:t>L’entrepreneur devra éviter tout conflit pouvant résulter de l’utilisation des ressources en eau.</w:t>
      </w:r>
    </w:p>
    <w:p>
      <w:pPr>
        <w:pStyle w:val="11"/>
        <w:tabs>
          <w:tab w:val="left" w:pos="0"/>
        </w:tabs>
        <w:spacing w:line="276" w:lineRule="auto"/>
        <w:rPr>
          <w:rFonts w:ascii="Tw Cen MT" w:hAnsi="Tw Cen MT" w:cs="Arial"/>
          <w:b/>
          <w:bCs/>
          <w:sz w:val="24"/>
          <w:szCs w:val="24"/>
        </w:rPr>
      </w:pPr>
      <w:r>
        <w:rPr>
          <w:rFonts w:ascii="Tw Cen MT" w:hAnsi="Tw Cen MT" w:cs="Arial"/>
          <w:bCs/>
          <w:sz w:val="24"/>
          <w:szCs w:val="24"/>
        </w:rPr>
        <w:t xml:space="preserve">Ainsi, si l’alimentation en eau du chantier est faite à partir d’un forage, d’un puits équipé de </w:t>
      </w:r>
      <w:r>
        <w:rPr>
          <w:rFonts w:ascii="Tw Cen MT" w:hAnsi="Tw Cen MT" w:cs="Arial"/>
          <w:b/>
          <w:bCs/>
          <w:sz w:val="24"/>
          <w:szCs w:val="24"/>
        </w:rPr>
        <w:t>PMH</w:t>
      </w:r>
      <w:r>
        <w:rPr>
          <w:rFonts w:ascii="Tw Cen MT" w:hAnsi="Tw Cen MT" w:cs="Arial"/>
          <w:bCs/>
          <w:sz w:val="24"/>
          <w:szCs w:val="24"/>
        </w:rPr>
        <w:t>,</w:t>
      </w:r>
      <w:r>
        <w:rPr>
          <w:rFonts w:ascii="Tw Cen MT" w:hAnsi="Tw Cen MT" w:cs="Arial"/>
          <w:b/>
          <w:bCs/>
          <w:sz w:val="24"/>
          <w:szCs w:val="24"/>
        </w:rPr>
        <w:t xml:space="preserve"> </w:t>
      </w:r>
      <w:r>
        <w:rPr>
          <w:rFonts w:ascii="Tw Cen MT" w:hAnsi="Tw Cen MT" w:cs="Arial"/>
          <w:bCs/>
          <w:sz w:val="24"/>
          <w:szCs w:val="24"/>
        </w:rPr>
        <w:t>d’une adduction d’eau potable ou d’un cours d’eau, les prélèvements devront se faire après consultation des populations riveraines</w:t>
      </w:r>
      <w:r>
        <w:rPr>
          <w:rFonts w:ascii="Tw Cen MT" w:hAnsi="Tw Cen MT" w:cs="Arial"/>
          <w:b/>
          <w:bCs/>
          <w:sz w:val="24"/>
          <w:szCs w:val="24"/>
        </w:rPr>
        <w:t>.</w:t>
      </w:r>
    </w:p>
    <w:p>
      <w:pPr>
        <w:pStyle w:val="11"/>
        <w:tabs>
          <w:tab w:val="left" w:pos="0"/>
        </w:tabs>
        <w:spacing w:after="0" w:line="276" w:lineRule="auto"/>
        <w:rPr>
          <w:rFonts w:ascii="Tw Cen MT" w:hAnsi="Tw Cen MT" w:cs="Arial"/>
          <w:bCs/>
          <w:sz w:val="24"/>
          <w:szCs w:val="24"/>
        </w:rPr>
      </w:pPr>
      <w:r>
        <w:rPr>
          <w:rFonts w:ascii="Tw Cen MT" w:hAnsi="Tw Cen MT" w:cs="Arial"/>
          <w:bCs/>
          <w:sz w:val="24"/>
          <w:szCs w:val="24"/>
        </w:rPr>
        <w:t>En tout état de cause, l’entreprise devra éviter d’effectuer des prélèvements importants dans les cours d’eau saisonnier, susceptibles d’interrompre la satisfaction des besoins urgents en eau des populations riveraines.</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Par ailleurs, elle devra éviter d’intervenir dans des zones sensibles, d’introduire des pollutions diverses pouvant résulter du lavage ou de la vidange des véhicules et engins. </w:t>
      </w:r>
    </w:p>
    <w:p>
      <w:pPr>
        <w:pStyle w:val="11"/>
        <w:numPr>
          <w:ilvl w:val="0"/>
          <w:numId w:val="84"/>
        </w:numPr>
        <w:tabs>
          <w:tab w:val="left" w:pos="0"/>
        </w:tabs>
        <w:suppressAutoHyphens/>
        <w:spacing w:line="276" w:lineRule="auto"/>
        <w:jc w:val="both"/>
        <w:rPr>
          <w:rFonts w:ascii="Tw Cen MT" w:hAnsi="Tw Cen MT" w:cs="Arial"/>
          <w:b/>
          <w:bCs/>
          <w:sz w:val="24"/>
          <w:szCs w:val="24"/>
        </w:rPr>
      </w:pPr>
      <w:r>
        <w:rPr>
          <w:rFonts w:ascii="Tw Cen MT" w:hAnsi="Tw Cen MT" w:cs="Arial"/>
          <w:b/>
          <w:bCs/>
          <w:sz w:val="24"/>
          <w:szCs w:val="24"/>
        </w:rPr>
        <w:t>La réparation des dommages causés aux tiers</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pPr>
        <w:pStyle w:val="11"/>
        <w:numPr>
          <w:ilvl w:val="0"/>
          <w:numId w:val="84"/>
        </w:numPr>
        <w:tabs>
          <w:tab w:val="left" w:pos="0"/>
        </w:tabs>
        <w:suppressAutoHyphens/>
        <w:spacing w:line="276" w:lineRule="auto"/>
        <w:ind w:left="714" w:hanging="357"/>
        <w:jc w:val="both"/>
        <w:rPr>
          <w:rFonts w:ascii="Tw Cen MT" w:hAnsi="Tw Cen MT" w:cs="Arial"/>
          <w:b/>
          <w:bCs/>
          <w:sz w:val="24"/>
          <w:szCs w:val="24"/>
          <w:u w:val="single"/>
        </w:rPr>
      </w:pPr>
      <w:r>
        <w:rPr>
          <w:rFonts w:ascii="Tw Cen MT" w:hAnsi="Tw Cen MT" w:cs="Arial"/>
          <w:b/>
          <w:bCs/>
          <w:sz w:val="24"/>
          <w:szCs w:val="24"/>
        </w:rPr>
        <w:t>Ouverture et exploitation des carrières et zones d’emprunt</w:t>
      </w:r>
      <w:r>
        <w:rPr>
          <w:rFonts w:ascii="Tw Cen MT" w:hAnsi="Tw Cen MT" w:cs="Arial"/>
          <w:bCs/>
          <w:sz w:val="24"/>
          <w:szCs w:val="24"/>
        </w:rPr>
        <w:tab/>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L’ouverture et l’utilisation des carrières sont réglementées par :</w:t>
      </w:r>
    </w:p>
    <w:p>
      <w:pPr>
        <w:pStyle w:val="11"/>
        <w:numPr>
          <w:ilvl w:val="0"/>
          <w:numId w:val="86"/>
        </w:numPr>
        <w:tabs>
          <w:tab w:val="left" w:pos="0"/>
          <w:tab w:val="left" w:pos="709"/>
          <w:tab w:val="clear" w:pos="450"/>
        </w:tabs>
        <w:suppressAutoHyphens/>
        <w:spacing w:after="0" w:line="276" w:lineRule="auto"/>
        <w:ind w:left="709" w:hanging="283"/>
        <w:jc w:val="both"/>
        <w:rPr>
          <w:rFonts w:ascii="Tw Cen MT" w:hAnsi="Tw Cen MT" w:cs="Arial"/>
          <w:bCs/>
          <w:sz w:val="24"/>
          <w:szCs w:val="24"/>
          <w:lang w:val="en-US"/>
        </w:rPr>
      </w:pPr>
      <w:r>
        <w:rPr>
          <w:rFonts w:ascii="Tw Cen MT" w:hAnsi="Tw Cen MT" w:cs="Arial"/>
          <w:bCs/>
          <w:sz w:val="24"/>
          <w:szCs w:val="24"/>
        </w:rPr>
        <w:t>Loi 64/LF/3 du 6 avril 1964 ;</w:t>
      </w:r>
    </w:p>
    <w:p>
      <w:pPr>
        <w:pStyle w:val="11"/>
        <w:numPr>
          <w:ilvl w:val="0"/>
          <w:numId w:val="86"/>
        </w:numPr>
        <w:tabs>
          <w:tab w:val="left" w:pos="0"/>
          <w:tab w:val="left" w:pos="709"/>
          <w:tab w:val="clear" w:pos="450"/>
        </w:tabs>
        <w:suppressAutoHyphens/>
        <w:spacing w:after="0" w:line="276" w:lineRule="auto"/>
        <w:ind w:left="709" w:hanging="283"/>
        <w:jc w:val="both"/>
        <w:rPr>
          <w:rFonts w:ascii="Tw Cen MT" w:hAnsi="Tw Cen MT" w:cs="Arial"/>
          <w:bCs/>
          <w:sz w:val="24"/>
          <w:szCs w:val="24"/>
          <w:lang w:val="en-US"/>
        </w:rPr>
      </w:pPr>
      <w:r>
        <w:rPr>
          <w:rFonts w:ascii="Tw Cen MT" w:hAnsi="Tw Cen MT" w:cs="Arial"/>
          <w:bCs/>
          <w:sz w:val="24"/>
          <w:szCs w:val="24"/>
        </w:rPr>
        <w:t>Décret 64 /LF-163 du 26 mai 1964,</w:t>
      </w:r>
    </w:p>
    <w:p>
      <w:pPr>
        <w:pStyle w:val="11"/>
        <w:numPr>
          <w:ilvl w:val="0"/>
          <w:numId w:val="86"/>
        </w:numPr>
        <w:tabs>
          <w:tab w:val="left" w:pos="0"/>
          <w:tab w:val="left" w:pos="709"/>
          <w:tab w:val="clear" w:pos="450"/>
        </w:tabs>
        <w:suppressAutoHyphens/>
        <w:spacing w:after="0" w:line="276" w:lineRule="auto"/>
        <w:ind w:left="709" w:hanging="283"/>
        <w:jc w:val="both"/>
        <w:rPr>
          <w:rFonts w:ascii="Tw Cen MT" w:hAnsi="Tw Cen MT" w:cs="Arial"/>
          <w:bCs/>
          <w:sz w:val="24"/>
          <w:szCs w:val="24"/>
          <w:lang w:val="en-US"/>
        </w:rPr>
      </w:pPr>
      <w:r>
        <w:rPr>
          <w:rFonts w:ascii="Tw Cen MT" w:hAnsi="Tw Cen MT" w:cs="Arial"/>
          <w:bCs/>
          <w:sz w:val="24"/>
          <w:szCs w:val="24"/>
        </w:rPr>
        <w:t>Ordonnance 74/2 du 6 juillet 1974,</w:t>
      </w:r>
    </w:p>
    <w:p>
      <w:pPr>
        <w:pStyle w:val="11"/>
        <w:numPr>
          <w:ilvl w:val="0"/>
          <w:numId w:val="86"/>
        </w:numPr>
        <w:tabs>
          <w:tab w:val="left" w:pos="0"/>
          <w:tab w:val="left" w:pos="709"/>
          <w:tab w:val="clear" w:pos="450"/>
        </w:tabs>
        <w:suppressAutoHyphens/>
        <w:spacing w:after="0" w:line="276" w:lineRule="auto"/>
        <w:ind w:left="709" w:hanging="283"/>
        <w:jc w:val="both"/>
        <w:rPr>
          <w:rFonts w:ascii="Tw Cen MT" w:hAnsi="Tw Cen MT" w:cs="Arial"/>
          <w:bCs/>
          <w:sz w:val="24"/>
          <w:szCs w:val="24"/>
        </w:rPr>
      </w:pPr>
      <w:r>
        <w:rPr>
          <w:rFonts w:ascii="Tw Cen MT" w:hAnsi="Tw Cen MT" w:cs="Arial"/>
          <w:bCs/>
          <w:sz w:val="24"/>
          <w:szCs w:val="24"/>
        </w:rPr>
        <w:t>Loi 76/14 du 8 juillet 1976 modifiée et complétée par celle n° 90/021 du 10 août 1990,</w:t>
      </w:r>
    </w:p>
    <w:p>
      <w:pPr>
        <w:pStyle w:val="11"/>
        <w:numPr>
          <w:ilvl w:val="0"/>
          <w:numId w:val="86"/>
        </w:numPr>
        <w:tabs>
          <w:tab w:val="left" w:pos="0"/>
          <w:tab w:val="left" w:pos="709"/>
          <w:tab w:val="clear" w:pos="450"/>
        </w:tabs>
        <w:suppressAutoHyphens/>
        <w:spacing w:after="0" w:line="276" w:lineRule="auto"/>
        <w:ind w:left="709" w:hanging="283"/>
        <w:jc w:val="both"/>
        <w:rPr>
          <w:rFonts w:ascii="Tw Cen MT" w:hAnsi="Tw Cen MT" w:cs="Arial"/>
          <w:bCs/>
          <w:sz w:val="24"/>
          <w:szCs w:val="24"/>
        </w:rPr>
      </w:pPr>
      <w:r>
        <w:rPr>
          <w:rFonts w:ascii="Tw Cen MT" w:hAnsi="Tw Cen MT" w:cs="Arial"/>
          <w:bCs/>
          <w:sz w:val="24"/>
          <w:szCs w:val="24"/>
        </w:rPr>
        <w:t>Décret 88/772 du 16 mai 1988 modifiée par décret 89/674 du 13 avril 1989,</w:t>
      </w:r>
    </w:p>
    <w:p>
      <w:pPr>
        <w:pStyle w:val="11"/>
        <w:numPr>
          <w:ilvl w:val="0"/>
          <w:numId w:val="86"/>
        </w:numPr>
        <w:tabs>
          <w:tab w:val="left" w:pos="0"/>
          <w:tab w:val="left" w:pos="709"/>
          <w:tab w:val="clear" w:pos="450"/>
        </w:tabs>
        <w:suppressAutoHyphens/>
        <w:spacing w:line="276" w:lineRule="auto"/>
        <w:ind w:left="709" w:hanging="284"/>
        <w:jc w:val="both"/>
        <w:rPr>
          <w:rFonts w:ascii="Tw Cen MT" w:hAnsi="Tw Cen MT" w:cs="Arial"/>
          <w:bCs/>
          <w:sz w:val="24"/>
          <w:szCs w:val="24"/>
        </w:rPr>
      </w:pPr>
      <w:r>
        <w:rPr>
          <w:rFonts w:ascii="Tw Cen MT" w:hAnsi="Tw Cen MT" w:cs="Arial"/>
          <w:bCs/>
          <w:sz w:val="24"/>
          <w:szCs w:val="24"/>
        </w:rPr>
        <w:t>Décret 90/1477 du 9 novembre 1990.</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Les carrières exploitées sur le domaine public sont soumises à autorisation. Les carrières exploitées sur un terrain privé sont soumises à déclaration.</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L’entrepreneur devra demander les autorisations prévues par les textes et règlements en vigueur et prendra à sa charge tous les frais y afférents, y compris les frais de dédommagements éventuels au propriétaire. L’entrepreneur devra présenter un programme d’exploitation de la carrière en fonction du volume à extraire pour les travaux et les réserves.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Au cas où l’exploitation de la carrière exige le dynamitage, les riverains devraient être consultés pour les horaires d’utilisation, et le bruit généré ne devra pas excéder 90 décibels au niveau des riverains.</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Les aires de dépôts devront être choisies de manière à ne pas gêner l’écoulement des eaux et devront être protégées contre l’érosion. L’entrepreneur devra obtenir pour les aires de dépôt l’agrément du contrôleur. </w:t>
      </w:r>
    </w:p>
    <w:p>
      <w:pPr>
        <w:pStyle w:val="11"/>
        <w:numPr>
          <w:ilvl w:val="0"/>
          <w:numId w:val="84"/>
        </w:numPr>
        <w:tabs>
          <w:tab w:val="left" w:pos="0"/>
        </w:tabs>
        <w:suppressAutoHyphens/>
        <w:spacing w:line="276" w:lineRule="auto"/>
        <w:ind w:left="714" w:hanging="357"/>
        <w:jc w:val="both"/>
        <w:rPr>
          <w:rFonts w:ascii="Tw Cen MT" w:hAnsi="Tw Cen MT" w:cs="Arial"/>
          <w:b/>
          <w:bCs/>
          <w:sz w:val="24"/>
          <w:szCs w:val="24"/>
        </w:rPr>
      </w:pPr>
      <w:r>
        <w:rPr>
          <w:rFonts w:ascii="Tw Cen MT" w:hAnsi="Tw Cen MT" w:cs="Arial"/>
          <w:b/>
          <w:bCs/>
          <w:sz w:val="24"/>
          <w:szCs w:val="24"/>
        </w:rPr>
        <w:t>La remise en état des sites et repli de chantier</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A la fin des travaux, le site devra être remis en état. A cet effet, les aménagements nécessaires ci-après devront être réalisés :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            - Le remblayage et le régalage des terres excavées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            - Le rétablissement des écoulements naturels antérieurs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            - Le nettoyage complet du site ;</w:t>
      </w:r>
    </w:p>
    <w:p>
      <w:pPr>
        <w:pStyle w:val="11"/>
        <w:tabs>
          <w:tab w:val="left" w:pos="0"/>
        </w:tabs>
        <w:spacing w:line="276" w:lineRule="auto"/>
        <w:rPr>
          <w:rFonts w:ascii="Tw Cen MT" w:hAnsi="Tw Cen MT" w:cs="Arial"/>
          <w:bCs/>
          <w:sz w:val="24"/>
          <w:szCs w:val="24"/>
        </w:rPr>
      </w:pPr>
      <w:r>
        <w:rPr>
          <w:rFonts w:ascii="Tw Cen MT" w:hAnsi="Tw Cen MT" w:cs="Arial"/>
          <w:bCs/>
          <w:sz w:val="24"/>
          <w:szCs w:val="24"/>
        </w:rPr>
        <w:t xml:space="preserve">            - L’aménagement de fossés de récupération des eaux de ruissellement si nécessaire. </w:t>
      </w:r>
    </w:p>
    <w:p>
      <w:pPr>
        <w:pStyle w:val="11"/>
        <w:tabs>
          <w:tab w:val="left" w:pos="0"/>
        </w:tabs>
        <w:spacing w:after="0" w:line="276" w:lineRule="auto"/>
        <w:rPr>
          <w:rFonts w:ascii="Tw Cen MT" w:hAnsi="Tw Cen MT" w:cs="Arial"/>
          <w:bCs/>
          <w:sz w:val="24"/>
          <w:szCs w:val="24"/>
        </w:rPr>
      </w:pPr>
      <w:r>
        <w:rPr>
          <w:rFonts w:ascii="Tw Cen MT" w:hAnsi="Tw Cen MT" w:cs="Arial"/>
          <w:bCs/>
          <w:sz w:val="24"/>
          <w:szCs w:val="24"/>
        </w:rPr>
        <w:t xml:space="preserve">Pour ce qui est de la base chantier, l’entrepreneur réalisera tous les travaux nécessaires à la remise en état des lieux. L’entrepreneur devra replier tout son matériel, ses équipements, ses et engins. Il ne pourra abandonner aucun matériel ou matériaux ni sur le site, ni dans les environs, sauf sur autorisation écrite du chef de service du marché. </w:t>
      </w:r>
    </w:p>
    <w:p>
      <w:pPr>
        <w:pStyle w:val="3"/>
        <w:widowControl w:val="0"/>
        <w:spacing w:line="360" w:lineRule="auto"/>
        <w:jc w:val="both"/>
        <w:rPr>
          <w:b/>
          <w:i/>
          <w:smallCaps/>
        </w:rPr>
      </w:pPr>
      <w:r>
        <w:rPr>
          <w:rFonts w:ascii="Tw Cen MT" w:hAnsi="Tw Cen MT" w:cs="Arial"/>
          <w:bCs/>
        </w:rPr>
        <w:t>La remise en état concerne aussi toutes les déviations et contours mis en place pendant les travaux. Il est souhaitable que les sites soient remis en état de manière progressive</w:t>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240" w:after="240" w:line="360" w:lineRule="auto"/>
        <w:ind w:left="851"/>
        <w:jc w:val="center"/>
        <w:rPr>
          <w:b/>
          <w:smallCaps/>
          <w:sz w:val="36"/>
          <w:szCs w:val="36"/>
        </w:rPr>
      </w:pPr>
      <w:bookmarkStart w:id="184" w:name="_23muvy2" w:colFirst="0" w:colLast="0"/>
      <w:bookmarkEnd w:id="184"/>
      <w:r>
        <w:rPr>
          <w:b/>
          <w:smallCaps/>
          <w:sz w:val="36"/>
          <w:szCs w:val="36"/>
        </w:rPr>
        <w:t xml:space="preserve">PIECE N°6 </w:t>
      </w:r>
    </w:p>
    <w:p>
      <w:pPr>
        <w:pStyle w:val="3"/>
        <w:widowControl w:val="0"/>
        <w:ind w:left="851" w:firstLine="1"/>
        <w:jc w:val="center"/>
        <w:rPr>
          <w:b/>
          <w:smallCaps/>
          <w:color w:val="000000"/>
          <w:sz w:val="36"/>
          <w:szCs w:val="36"/>
        </w:rPr>
      </w:pPr>
      <w:r>
        <w:rPr>
          <w:b/>
          <w:smallCaps/>
          <w:color w:val="000000"/>
          <w:sz w:val="36"/>
          <w:szCs w:val="36"/>
        </w:rPr>
        <w:t>CADRE DU BORDEREAU DES PRIX UNITAIRES</w:t>
      </w:r>
    </w:p>
    <w:p>
      <w:pPr>
        <w:pStyle w:val="3"/>
        <w:widowControl w:val="0"/>
        <w:spacing w:line="360" w:lineRule="auto"/>
        <w:ind w:left="1212" w:hanging="360"/>
        <w:jc w:val="center"/>
        <w:rPr>
          <w:color w:val="000000"/>
          <w:sz w:val="60"/>
          <w:szCs w:val="60"/>
        </w:rPr>
      </w:pPr>
    </w:p>
    <w:p>
      <w:pPr>
        <w:pStyle w:val="3"/>
        <w:rPr>
          <w:sz w:val="60"/>
          <w:szCs w:val="60"/>
        </w:rPr>
      </w:pPr>
      <w:r>
        <w:br w:type="textWrapping"/>
      </w:r>
    </w:p>
    <w:p>
      <w:pPr>
        <w:pStyle w:val="3"/>
        <w:widowControl w:val="0"/>
        <w:spacing w:after="120"/>
        <w:jc w:val="both"/>
        <w:rPr>
          <w:i/>
          <w:sz w:val="20"/>
          <w:szCs w:val="20"/>
        </w:rPr>
      </w:pPr>
    </w:p>
    <w:p>
      <w:pPr>
        <w:pStyle w:val="3"/>
        <w:rPr>
          <w:b/>
          <w:smallCaps/>
          <w:color w:val="000000"/>
          <w:sz w:val="32"/>
          <w:szCs w:val="32"/>
        </w:rPr>
      </w:pPr>
      <w:r>
        <w:rPr>
          <w:i/>
        </w:rPr>
        <w:br w:type="textWrapping"/>
      </w: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rPr>
          <w:b/>
          <w:smallCaps/>
          <w:color w:val="000000"/>
          <w:sz w:val="32"/>
          <w:szCs w:val="32"/>
        </w:rPr>
      </w:pPr>
    </w:p>
    <w:p>
      <w:pPr>
        <w:pStyle w:val="3"/>
        <w:jc w:val="center"/>
        <w:rPr>
          <w:b/>
          <w:smallCaps/>
          <w:color w:val="000000"/>
          <w:sz w:val="32"/>
          <w:szCs w:val="32"/>
        </w:rPr>
      </w:pPr>
      <w:r>
        <w:rPr>
          <w:b/>
          <w:smallCaps/>
          <w:color w:val="000000"/>
          <w:sz w:val="32"/>
          <w:szCs w:val="32"/>
        </w:rPr>
        <w:t>CADRE DU BORDEREAU DES PRIX UNITAIRES</w:t>
      </w:r>
    </w:p>
    <w:p>
      <w:pPr>
        <w:pStyle w:val="3"/>
        <w:rPr>
          <w:b/>
          <w:i/>
          <w:smallCaps/>
        </w:rPr>
      </w:pPr>
    </w:p>
    <w:tbl>
      <w:tblPr>
        <w:tblStyle w:val="33"/>
        <w:tblW w:w="96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
      <w:tblGrid>
        <w:gridCol w:w="860"/>
        <w:gridCol w:w="6724"/>
        <w:gridCol w:w="700"/>
        <w:gridCol w:w="1338"/>
      </w:tblGrid>
      <w:tr>
        <w:tblPrEx>
          <w:tblLayout w:type="fixed"/>
        </w:tblPrEx>
        <w:trPr>
          <w:cantSplit/>
          <w:trHeight w:val="720" w:hRule="atLeast"/>
          <w:tblHeader/>
        </w:trPr>
        <w:tc>
          <w:tcPr>
            <w:tcW w:w="860" w:type="dxa"/>
            <w:shd w:val="clear" w:color="auto" w:fill="FFFFFF"/>
            <w:vAlign w:val="center"/>
          </w:tcPr>
          <w:p>
            <w:pPr>
              <w:pStyle w:val="3"/>
              <w:jc w:val="right"/>
              <w:rPr>
                <w:b/>
                <w:sz w:val="20"/>
                <w:szCs w:val="20"/>
              </w:rPr>
            </w:pPr>
            <w:r>
              <w:rPr>
                <w:b/>
              </w:rPr>
              <w:t>N°</w:t>
            </w:r>
          </w:p>
        </w:tc>
        <w:tc>
          <w:tcPr>
            <w:tcW w:w="6724" w:type="dxa"/>
            <w:shd w:val="clear" w:color="auto" w:fill="FFFFFF"/>
            <w:vAlign w:val="center"/>
          </w:tcPr>
          <w:p>
            <w:pPr>
              <w:pStyle w:val="3"/>
              <w:jc w:val="center"/>
              <w:rPr>
                <w:b/>
                <w:sz w:val="20"/>
                <w:szCs w:val="20"/>
              </w:rPr>
            </w:pPr>
            <w:r>
              <w:rPr>
                <w:b/>
              </w:rPr>
              <w:t>Désignation</w:t>
            </w:r>
          </w:p>
        </w:tc>
        <w:tc>
          <w:tcPr>
            <w:tcW w:w="700" w:type="dxa"/>
            <w:shd w:val="clear" w:color="auto" w:fill="FFFFFF"/>
            <w:vAlign w:val="center"/>
          </w:tcPr>
          <w:p>
            <w:pPr>
              <w:pStyle w:val="3"/>
              <w:jc w:val="center"/>
              <w:rPr>
                <w:b/>
                <w:sz w:val="20"/>
                <w:szCs w:val="20"/>
              </w:rPr>
            </w:pPr>
            <w:r>
              <w:rPr>
                <w:b/>
              </w:rPr>
              <w:t>Unité</w:t>
            </w:r>
          </w:p>
        </w:tc>
        <w:tc>
          <w:tcPr>
            <w:tcW w:w="1338" w:type="dxa"/>
            <w:shd w:val="clear" w:color="auto" w:fill="FFFFFF"/>
            <w:vAlign w:val="center"/>
          </w:tcPr>
          <w:p>
            <w:pPr>
              <w:pStyle w:val="3"/>
              <w:jc w:val="center"/>
              <w:rPr>
                <w:b/>
                <w:sz w:val="20"/>
                <w:szCs w:val="20"/>
              </w:rPr>
            </w:pPr>
            <w:r>
              <w:rPr>
                <w:b/>
              </w:rPr>
              <w:t xml:space="preserve">P. Unitaire </w:t>
            </w:r>
          </w:p>
          <w:p>
            <w:pPr>
              <w:pStyle w:val="3"/>
              <w:jc w:val="center"/>
              <w:rPr>
                <w:b/>
                <w:sz w:val="20"/>
                <w:szCs w:val="20"/>
              </w:rPr>
            </w:pPr>
            <w:r>
              <w:rPr>
                <w:b/>
              </w:rPr>
              <w:t xml:space="preserve"> en chiffre  HTVA </w:t>
            </w:r>
          </w:p>
        </w:tc>
      </w:tr>
      <w:tr>
        <w:trPr>
          <w:cantSplit/>
          <w:trHeight w:val="300" w:hRule="atLeast"/>
          <w:tblHeader/>
        </w:trPr>
        <w:tc>
          <w:tcPr>
            <w:tcW w:w="860" w:type="dxa"/>
            <w:shd w:val="clear" w:color="auto" w:fill="FFFFFF"/>
            <w:vAlign w:val="center"/>
          </w:tcPr>
          <w:p>
            <w:pPr>
              <w:pStyle w:val="3"/>
              <w:jc w:val="right"/>
              <w:rPr>
                <w:b/>
                <w:sz w:val="20"/>
                <w:szCs w:val="20"/>
              </w:rPr>
            </w:pPr>
            <w:r>
              <w:rPr>
                <w:b/>
              </w:rPr>
              <w:t>100</w:t>
            </w:r>
          </w:p>
        </w:tc>
        <w:tc>
          <w:tcPr>
            <w:tcW w:w="6724" w:type="dxa"/>
            <w:shd w:val="clear" w:color="auto" w:fill="FFFFFF"/>
            <w:vAlign w:val="center"/>
          </w:tcPr>
          <w:p>
            <w:pPr>
              <w:pStyle w:val="3"/>
              <w:rPr>
                <w:b/>
                <w:sz w:val="20"/>
                <w:szCs w:val="20"/>
              </w:rPr>
            </w:pPr>
            <w:r>
              <w:rPr>
                <w:b/>
              </w:rPr>
              <w:t xml:space="preserve">Travaux préliminaires-terrassement </w:t>
            </w:r>
          </w:p>
        </w:tc>
        <w:tc>
          <w:tcPr>
            <w:tcW w:w="700" w:type="dxa"/>
            <w:shd w:val="clear" w:color="auto" w:fill="FFFFFF"/>
            <w:vAlign w:val="center"/>
          </w:tcPr>
          <w:p>
            <w:pPr>
              <w:pStyle w:val="3"/>
              <w:jc w:val="center"/>
              <w:rPr>
                <w:sz w:val="20"/>
                <w:szCs w:val="20"/>
              </w:rPr>
            </w:pPr>
            <w:r>
              <w:t> </w:t>
            </w:r>
          </w:p>
        </w:tc>
        <w:tc>
          <w:tcPr>
            <w:tcW w:w="1338" w:type="dxa"/>
            <w:shd w:val="clear" w:color="auto" w:fill="FFFFFF"/>
            <w:vAlign w:val="center"/>
          </w:tcPr>
          <w:p>
            <w:pPr>
              <w:pStyle w:val="3"/>
              <w:jc w:val="center"/>
              <w:rPr>
                <w:sz w:val="20"/>
                <w:szCs w:val="20"/>
              </w:rPr>
            </w:pPr>
            <w:r>
              <w:t> </w:t>
            </w:r>
          </w:p>
        </w:tc>
      </w:tr>
      <w:tr>
        <w:trPr>
          <w:cantSplit/>
          <w:trHeight w:val="300" w:hRule="atLeast"/>
          <w:tblHeader/>
        </w:trPr>
        <w:tc>
          <w:tcPr>
            <w:tcW w:w="860" w:type="dxa"/>
            <w:shd w:val="clear" w:color="auto" w:fill="FFFFFF"/>
            <w:vAlign w:val="center"/>
          </w:tcPr>
          <w:p>
            <w:pPr>
              <w:pStyle w:val="3"/>
              <w:rPr>
                <w:sz w:val="20"/>
                <w:szCs w:val="20"/>
              </w:rPr>
            </w:pPr>
            <w:r>
              <w:t> 1.1</w:t>
            </w:r>
          </w:p>
        </w:tc>
        <w:tc>
          <w:tcPr>
            <w:tcW w:w="6724" w:type="dxa"/>
            <w:shd w:val="clear" w:color="auto" w:fill="FFFFFF"/>
            <w:vAlign w:val="center"/>
          </w:tcPr>
          <w:p>
            <w:pPr>
              <w:pStyle w:val="3"/>
              <w:jc w:val="both"/>
              <w:rPr>
                <w:i/>
                <w:sz w:val="20"/>
                <w:szCs w:val="20"/>
              </w:rPr>
            </w:pPr>
            <w:r>
              <w:rPr>
                <w:b/>
                <w:i/>
              </w:rPr>
              <w:t>réalisation du chantier:</w:t>
            </w:r>
            <w:r>
              <w:rPr>
                <w:i/>
              </w:rPr>
              <w:t xml:space="preserve"> </w:t>
            </w:r>
          </w:p>
          <w:p>
            <w:pPr>
              <w:pStyle w:val="3"/>
              <w:jc w:val="both"/>
              <w:rPr>
                <w:sz w:val="20"/>
                <w:szCs w:val="20"/>
              </w:rPr>
            </w:pPr>
            <w:r>
              <w:t>Ce prix rémunère dans les conditions prévues au CCTP, tous les travaux nécessaires aux études, en vue de la production du projet d’exécution, à la préparation, etc.</w:t>
            </w:r>
          </w:p>
          <w:p>
            <w:pPr>
              <w:pStyle w:val="3"/>
              <w:jc w:val="both"/>
              <w:rPr>
                <w:sz w:val="20"/>
                <w:szCs w:val="20"/>
              </w:rPr>
            </w:pPr>
            <w:r>
              <w:t xml:space="preserve"> -</w:t>
            </w:r>
            <w:r>
              <w:rPr>
                <w:b/>
              </w:rPr>
              <w:t>Le forfait  à :                  F CFA</w:t>
            </w:r>
          </w:p>
        </w:tc>
        <w:tc>
          <w:tcPr>
            <w:tcW w:w="700" w:type="dxa"/>
            <w:shd w:val="clear" w:color="auto" w:fill="FFFFFF"/>
            <w:vAlign w:val="center"/>
          </w:tcPr>
          <w:p>
            <w:pPr>
              <w:pStyle w:val="3"/>
              <w:jc w:val="center"/>
              <w:rPr>
                <w:sz w:val="20"/>
                <w:szCs w:val="20"/>
              </w:rPr>
            </w:pPr>
            <w:r>
              <w:rPr>
                <w:b/>
              </w:rPr>
              <w:t>FF</w:t>
            </w:r>
          </w:p>
        </w:tc>
        <w:tc>
          <w:tcPr>
            <w:tcW w:w="1338" w:type="dxa"/>
            <w:shd w:val="clear" w:color="auto" w:fill="FFFFFF"/>
            <w:vAlign w:val="center"/>
          </w:tcPr>
          <w:p>
            <w:pPr>
              <w:pStyle w:val="3"/>
              <w:jc w:val="right"/>
              <w:rPr>
                <w:b/>
                <w:sz w:val="20"/>
                <w:szCs w:val="20"/>
              </w:rPr>
            </w:pPr>
            <w:r>
              <w:rPr>
                <w:b/>
              </w:rPr>
              <w:t> </w:t>
            </w: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1.2</w:t>
            </w:r>
          </w:p>
        </w:tc>
        <w:tc>
          <w:tcPr>
            <w:tcW w:w="6724" w:type="dxa"/>
            <w:shd w:val="clear" w:color="auto" w:fill="FFFFFF"/>
            <w:vAlign w:val="center"/>
          </w:tcPr>
          <w:p>
            <w:pPr>
              <w:pStyle w:val="3"/>
              <w:jc w:val="both"/>
              <w:rPr>
                <w:b/>
                <w:i/>
                <w:sz w:val="20"/>
                <w:szCs w:val="20"/>
              </w:rPr>
            </w:pPr>
            <w:r>
              <w:rPr>
                <w:b/>
                <w:i/>
              </w:rPr>
              <w:t xml:space="preserve">Aménagement et assainissement de la plateforme </w:t>
            </w:r>
          </w:p>
          <w:p>
            <w:pPr>
              <w:pStyle w:val="3"/>
              <w:jc w:val="both"/>
              <w:rPr>
                <w:sz w:val="20"/>
                <w:szCs w:val="20"/>
              </w:rPr>
            </w:pPr>
            <w:r>
              <w:t>Ce prix rémunère dans les conditions prévues au CCTP</w:t>
            </w:r>
          </w:p>
          <w:p>
            <w:pPr>
              <w:pStyle w:val="3"/>
              <w:jc w:val="both"/>
              <w:rPr>
                <w:b/>
                <w:sz w:val="20"/>
                <w:szCs w:val="20"/>
              </w:rPr>
            </w:pPr>
            <w:r>
              <w:rPr>
                <w:b/>
              </w:rPr>
              <w:t>Le forfait  à                    F CFA</w:t>
            </w:r>
          </w:p>
        </w:tc>
        <w:tc>
          <w:tcPr>
            <w:tcW w:w="700" w:type="dxa"/>
            <w:shd w:val="clear" w:color="auto" w:fill="FFFFFF"/>
            <w:vAlign w:val="center"/>
          </w:tcPr>
          <w:p>
            <w:pPr>
              <w:pStyle w:val="3"/>
              <w:jc w:val="center"/>
              <w:rPr>
                <w:b/>
                <w:sz w:val="20"/>
                <w:szCs w:val="20"/>
              </w:rPr>
            </w:pPr>
            <w:r>
              <w:rPr>
                <w:b/>
              </w:rPr>
              <w:t>FF</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1.5</w:t>
            </w:r>
          </w:p>
        </w:tc>
        <w:tc>
          <w:tcPr>
            <w:tcW w:w="6724" w:type="dxa"/>
            <w:shd w:val="clear" w:color="auto" w:fill="FFFFFF"/>
            <w:vAlign w:val="center"/>
          </w:tcPr>
          <w:p>
            <w:pPr>
              <w:pStyle w:val="3"/>
              <w:jc w:val="both"/>
              <w:rPr>
                <w:i/>
                <w:sz w:val="20"/>
                <w:szCs w:val="20"/>
              </w:rPr>
            </w:pPr>
            <w:r>
              <w:rPr>
                <w:b/>
                <w:i/>
              </w:rPr>
              <w:t>Remblais compacté :</w:t>
            </w:r>
          </w:p>
          <w:p>
            <w:pPr>
              <w:pStyle w:val="3"/>
              <w:jc w:val="both"/>
              <w:rPr>
                <w:sz w:val="20"/>
                <w:szCs w:val="20"/>
              </w:rPr>
            </w:pPr>
            <w:r>
              <w:t>Ce prix rémunère dans les conditions prévues au CCTP</w:t>
            </w:r>
          </w:p>
          <w:p>
            <w:pPr>
              <w:pStyle w:val="3"/>
              <w:jc w:val="both"/>
              <w:rPr>
                <w:b/>
                <w:sz w:val="20"/>
                <w:szCs w:val="20"/>
              </w:rPr>
            </w:pPr>
            <w:r>
              <w:rPr>
                <w:b/>
              </w:rPr>
              <w:t>Le mètre cube  à                   F CFA</w:t>
            </w:r>
          </w:p>
        </w:tc>
        <w:tc>
          <w:tcPr>
            <w:tcW w:w="700" w:type="dxa"/>
            <w:shd w:val="clear" w:color="auto" w:fill="FFFFFF"/>
            <w:vAlign w:val="center"/>
          </w:tcPr>
          <w:p>
            <w:pPr>
              <w:pStyle w:val="3"/>
              <w:jc w:val="center"/>
              <w:rPr>
                <w:b/>
                <w:sz w:val="20"/>
                <w:szCs w:val="20"/>
              </w:rPr>
            </w:pPr>
            <w:r>
              <w:rPr>
                <w:b/>
              </w:rPr>
              <w:t>M3</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1.6</w:t>
            </w:r>
          </w:p>
        </w:tc>
        <w:tc>
          <w:tcPr>
            <w:tcW w:w="6724" w:type="dxa"/>
            <w:shd w:val="clear" w:color="auto" w:fill="FFFFFF"/>
            <w:vAlign w:val="center"/>
          </w:tcPr>
          <w:p>
            <w:pPr>
              <w:pStyle w:val="3"/>
              <w:jc w:val="both"/>
              <w:rPr>
                <w:i/>
                <w:sz w:val="20"/>
                <w:szCs w:val="20"/>
              </w:rPr>
            </w:pPr>
            <w:r>
              <w:rPr>
                <w:b/>
                <w:i/>
              </w:rPr>
              <w:t>Couche de sable sous dallage :</w:t>
            </w:r>
          </w:p>
          <w:p>
            <w:pPr>
              <w:pStyle w:val="3"/>
              <w:jc w:val="both"/>
              <w:rPr>
                <w:sz w:val="20"/>
                <w:szCs w:val="20"/>
              </w:rPr>
            </w:pPr>
            <w:r>
              <w:t>Ce prix rémunère dans les conditions prévues au CCTP</w:t>
            </w:r>
          </w:p>
          <w:p>
            <w:pPr>
              <w:pStyle w:val="3"/>
              <w:jc w:val="both"/>
              <w:rPr>
                <w:b/>
                <w:i/>
                <w:sz w:val="20"/>
                <w:szCs w:val="20"/>
              </w:rPr>
            </w:pPr>
            <w:r>
              <w:rPr>
                <w:b/>
              </w:rPr>
              <w:t>Le mètre carré  à                   F CFA</w:t>
            </w:r>
          </w:p>
        </w:tc>
        <w:tc>
          <w:tcPr>
            <w:tcW w:w="700" w:type="dxa"/>
            <w:shd w:val="clear" w:color="auto" w:fill="FFFFFF"/>
            <w:vAlign w:val="center"/>
          </w:tcPr>
          <w:p>
            <w:pPr>
              <w:pStyle w:val="3"/>
              <w:jc w:val="center"/>
              <w:rPr>
                <w:b/>
                <w:sz w:val="20"/>
                <w:szCs w:val="20"/>
              </w:rPr>
            </w:pPr>
            <w:r>
              <w:rPr>
                <w:b/>
              </w:rPr>
              <w:t>M2</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1.7</w:t>
            </w:r>
          </w:p>
        </w:tc>
        <w:tc>
          <w:tcPr>
            <w:tcW w:w="6724" w:type="dxa"/>
            <w:shd w:val="clear" w:color="auto" w:fill="FFFFFF"/>
            <w:vAlign w:val="center"/>
          </w:tcPr>
          <w:p>
            <w:pPr>
              <w:pStyle w:val="3"/>
              <w:jc w:val="both"/>
              <w:rPr>
                <w:i/>
                <w:sz w:val="20"/>
                <w:szCs w:val="20"/>
              </w:rPr>
            </w:pPr>
            <w:r>
              <w:rPr>
                <w:b/>
                <w:i/>
              </w:rPr>
              <w:t>Film polyane :</w:t>
            </w:r>
          </w:p>
          <w:p>
            <w:pPr>
              <w:pStyle w:val="3"/>
              <w:jc w:val="both"/>
              <w:rPr>
                <w:sz w:val="20"/>
                <w:szCs w:val="20"/>
              </w:rPr>
            </w:pPr>
            <w:r>
              <w:t>Ce prix rémunère dans les conditions prévues au CCTP</w:t>
            </w:r>
          </w:p>
          <w:p>
            <w:pPr>
              <w:pStyle w:val="3"/>
              <w:jc w:val="both"/>
              <w:rPr>
                <w:b/>
                <w:i/>
                <w:sz w:val="20"/>
                <w:szCs w:val="20"/>
              </w:rPr>
            </w:pPr>
            <w:r>
              <w:rPr>
                <w:b/>
              </w:rPr>
              <w:t>Le mètre carré  à                   F CFA</w:t>
            </w:r>
          </w:p>
        </w:tc>
        <w:tc>
          <w:tcPr>
            <w:tcW w:w="700" w:type="dxa"/>
            <w:shd w:val="clear" w:color="auto" w:fill="FFFFFF"/>
            <w:vAlign w:val="center"/>
          </w:tcPr>
          <w:p>
            <w:pPr>
              <w:pStyle w:val="3"/>
              <w:jc w:val="center"/>
              <w:rPr>
                <w:b/>
                <w:sz w:val="20"/>
                <w:szCs w:val="20"/>
              </w:rPr>
            </w:pPr>
            <w:r>
              <w:rPr>
                <w:b/>
              </w:rPr>
              <w:t>M2</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3</w:t>
            </w:r>
          </w:p>
        </w:tc>
        <w:tc>
          <w:tcPr>
            <w:tcW w:w="8762" w:type="dxa"/>
            <w:gridSpan w:val="3"/>
            <w:shd w:val="clear" w:color="auto" w:fill="FFFFFF"/>
            <w:vAlign w:val="center"/>
          </w:tcPr>
          <w:p>
            <w:pPr>
              <w:pStyle w:val="3"/>
              <w:jc w:val="center"/>
              <w:rPr>
                <w:b/>
                <w:sz w:val="20"/>
                <w:szCs w:val="20"/>
              </w:rPr>
            </w:pPr>
            <w:r>
              <w:rPr>
                <w:b/>
              </w:rPr>
              <w:t>FONDATION</w:t>
            </w: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3.1</w:t>
            </w:r>
          </w:p>
        </w:tc>
        <w:tc>
          <w:tcPr>
            <w:tcW w:w="6724" w:type="dxa"/>
            <w:shd w:val="clear" w:color="auto" w:fill="FFFFFF"/>
            <w:vAlign w:val="center"/>
          </w:tcPr>
          <w:p>
            <w:pPr>
              <w:pStyle w:val="3"/>
              <w:jc w:val="both"/>
              <w:rPr>
                <w:i/>
                <w:sz w:val="20"/>
                <w:szCs w:val="20"/>
              </w:rPr>
            </w:pPr>
            <w:r>
              <w:rPr>
                <w:b/>
                <w:i/>
              </w:rPr>
              <w:t>Dallage du sol dosé à 300kg/m3 :</w:t>
            </w:r>
          </w:p>
          <w:p>
            <w:pPr>
              <w:pStyle w:val="3"/>
              <w:jc w:val="both"/>
              <w:rPr>
                <w:sz w:val="20"/>
                <w:szCs w:val="20"/>
              </w:rPr>
            </w:pPr>
            <w:r>
              <w:t>Ce prix rémunère dans les conditions prévues au CCTP</w:t>
            </w:r>
          </w:p>
          <w:p>
            <w:pPr>
              <w:pStyle w:val="3"/>
              <w:jc w:val="both"/>
              <w:rPr>
                <w:b/>
                <w:i/>
                <w:sz w:val="20"/>
                <w:szCs w:val="20"/>
              </w:rPr>
            </w:pPr>
            <w:r>
              <w:rPr>
                <w:b/>
              </w:rPr>
              <w:t>Le mètre carré  à                   F CFA</w:t>
            </w:r>
          </w:p>
        </w:tc>
        <w:tc>
          <w:tcPr>
            <w:tcW w:w="700" w:type="dxa"/>
            <w:shd w:val="clear" w:color="auto" w:fill="FFFFFF"/>
            <w:vAlign w:val="center"/>
          </w:tcPr>
          <w:p>
            <w:pPr>
              <w:pStyle w:val="3"/>
              <w:jc w:val="center"/>
              <w:rPr>
                <w:b/>
                <w:sz w:val="20"/>
                <w:szCs w:val="20"/>
              </w:rPr>
            </w:pPr>
            <w:r>
              <w:rPr>
                <w:b/>
              </w:rPr>
              <w:t>M2</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4</w:t>
            </w:r>
          </w:p>
        </w:tc>
        <w:tc>
          <w:tcPr>
            <w:tcW w:w="8762" w:type="dxa"/>
            <w:gridSpan w:val="3"/>
            <w:shd w:val="clear" w:color="auto" w:fill="FFFFFF"/>
            <w:vAlign w:val="center"/>
          </w:tcPr>
          <w:p>
            <w:pPr>
              <w:pStyle w:val="3"/>
              <w:jc w:val="center"/>
              <w:rPr>
                <w:b/>
                <w:sz w:val="20"/>
                <w:szCs w:val="20"/>
              </w:rPr>
            </w:pPr>
            <w:r>
              <w:rPr>
                <w:b/>
                <w:i/>
              </w:rPr>
              <w:t>MAÇONNERIE</w:t>
            </w: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4.2</w:t>
            </w:r>
          </w:p>
        </w:tc>
        <w:tc>
          <w:tcPr>
            <w:tcW w:w="6724" w:type="dxa"/>
            <w:shd w:val="clear" w:color="auto" w:fill="FFFFFF"/>
            <w:vAlign w:val="center"/>
          </w:tcPr>
          <w:p>
            <w:pPr>
              <w:pStyle w:val="3"/>
              <w:jc w:val="both"/>
              <w:rPr>
                <w:b/>
                <w:i/>
                <w:sz w:val="20"/>
                <w:szCs w:val="20"/>
              </w:rPr>
            </w:pPr>
            <w:r>
              <w:rPr>
                <w:b/>
                <w:i/>
              </w:rPr>
              <w:t xml:space="preserve">Démolition  </w:t>
            </w:r>
          </w:p>
          <w:p>
            <w:pPr>
              <w:pStyle w:val="3"/>
              <w:jc w:val="both"/>
              <w:rPr>
                <w:sz w:val="20"/>
                <w:szCs w:val="20"/>
              </w:rPr>
            </w:pPr>
            <w:r>
              <w:t>Ce prix rémunère dans les conditions prévues au CCTP</w:t>
            </w:r>
          </w:p>
          <w:p>
            <w:pPr>
              <w:pStyle w:val="3"/>
              <w:rPr>
                <w:b/>
                <w:sz w:val="20"/>
                <w:szCs w:val="20"/>
              </w:rPr>
            </w:pPr>
            <w:r>
              <w:rPr>
                <w:b/>
              </w:rPr>
              <w:t>Le forfait  à                    F CFA</w:t>
            </w:r>
          </w:p>
        </w:tc>
        <w:tc>
          <w:tcPr>
            <w:tcW w:w="700" w:type="dxa"/>
            <w:shd w:val="clear" w:color="auto" w:fill="FFFFFF"/>
            <w:vAlign w:val="center"/>
          </w:tcPr>
          <w:p>
            <w:pPr>
              <w:pStyle w:val="3"/>
              <w:jc w:val="center"/>
              <w:rPr>
                <w:sz w:val="20"/>
                <w:szCs w:val="20"/>
              </w:rPr>
            </w:pPr>
            <w:r>
              <w:t>FF</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4.3</w:t>
            </w:r>
          </w:p>
        </w:tc>
        <w:tc>
          <w:tcPr>
            <w:tcW w:w="6724" w:type="dxa"/>
            <w:shd w:val="clear" w:color="auto" w:fill="FFFFFF"/>
            <w:vAlign w:val="center"/>
          </w:tcPr>
          <w:p>
            <w:pPr>
              <w:pStyle w:val="3"/>
              <w:jc w:val="both"/>
              <w:rPr>
                <w:b/>
                <w:i/>
                <w:sz w:val="20"/>
                <w:szCs w:val="20"/>
              </w:rPr>
            </w:pPr>
            <w:r>
              <w:rPr>
                <w:b/>
                <w:i/>
              </w:rPr>
              <w:t xml:space="preserve">Claustras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5</w:t>
            </w:r>
          </w:p>
        </w:tc>
        <w:tc>
          <w:tcPr>
            <w:tcW w:w="8762" w:type="dxa"/>
            <w:gridSpan w:val="3"/>
            <w:shd w:val="clear" w:color="auto" w:fill="FFFFFF"/>
            <w:vAlign w:val="center"/>
          </w:tcPr>
          <w:p>
            <w:pPr>
              <w:pStyle w:val="3"/>
              <w:jc w:val="center"/>
              <w:rPr>
                <w:b/>
                <w:sz w:val="20"/>
                <w:szCs w:val="20"/>
              </w:rPr>
            </w:pPr>
            <w:r>
              <w:rPr>
                <w:b/>
              </w:rPr>
              <w:t xml:space="preserve">ENDUITS, CHAPES ET DIVERS </w:t>
            </w: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5.1</w:t>
            </w:r>
          </w:p>
        </w:tc>
        <w:tc>
          <w:tcPr>
            <w:tcW w:w="6724" w:type="dxa"/>
            <w:shd w:val="clear" w:color="auto" w:fill="FFFFFF"/>
            <w:vAlign w:val="center"/>
          </w:tcPr>
          <w:p>
            <w:pPr>
              <w:pStyle w:val="3"/>
              <w:jc w:val="both"/>
              <w:rPr>
                <w:i/>
                <w:sz w:val="20"/>
                <w:szCs w:val="20"/>
              </w:rPr>
            </w:pPr>
            <w:r>
              <w:rPr>
                <w:b/>
                <w:i/>
              </w:rPr>
              <w:t>Enduits sur mur extérieurs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5.2</w:t>
            </w:r>
          </w:p>
        </w:tc>
        <w:tc>
          <w:tcPr>
            <w:tcW w:w="6724" w:type="dxa"/>
            <w:shd w:val="clear" w:color="auto" w:fill="FFFFFF"/>
            <w:vAlign w:val="center"/>
          </w:tcPr>
          <w:p>
            <w:pPr>
              <w:pStyle w:val="3"/>
              <w:jc w:val="both"/>
              <w:rPr>
                <w:b/>
                <w:i/>
                <w:sz w:val="20"/>
                <w:szCs w:val="20"/>
              </w:rPr>
            </w:pPr>
            <w:r>
              <w:rPr>
                <w:b/>
                <w:i/>
              </w:rPr>
              <w:t>Enduits sur mur intérieurs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5.3</w:t>
            </w:r>
          </w:p>
        </w:tc>
        <w:tc>
          <w:tcPr>
            <w:tcW w:w="6724" w:type="dxa"/>
            <w:shd w:val="clear" w:color="auto" w:fill="FFFFFF"/>
            <w:vAlign w:val="center"/>
          </w:tcPr>
          <w:p>
            <w:pPr>
              <w:pStyle w:val="3"/>
              <w:jc w:val="both"/>
              <w:rPr>
                <w:i/>
                <w:sz w:val="20"/>
                <w:szCs w:val="20"/>
              </w:rPr>
            </w:pPr>
            <w:r>
              <w:rPr>
                <w:b/>
                <w:i/>
              </w:rPr>
              <w:t>Remplissage pour surélévation des placards de 10cm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5.4</w:t>
            </w:r>
          </w:p>
        </w:tc>
        <w:tc>
          <w:tcPr>
            <w:tcW w:w="6724" w:type="dxa"/>
            <w:shd w:val="clear" w:color="auto" w:fill="FFFFFF"/>
            <w:vAlign w:val="center"/>
          </w:tcPr>
          <w:p>
            <w:pPr>
              <w:pStyle w:val="3"/>
              <w:jc w:val="both"/>
              <w:rPr>
                <w:i/>
                <w:sz w:val="20"/>
                <w:szCs w:val="20"/>
              </w:rPr>
            </w:pPr>
            <w:r>
              <w:rPr>
                <w:b/>
                <w:i/>
              </w:rPr>
              <w:t>Chape de 3cm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5.5</w:t>
            </w:r>
          </w:p>
        </w:tc>
        <w:tc>
          <w:tcPr>
            <w:tcW w:w="6724" w:type="dxa"/>
            <w:shd w:val="clear" w:color="auto" w:fill="FFFFFF"/>
            <w:vAlign w:val="center"/>
          </w:tcPr>
          <w:p>
            <w:pPr>
              <w:pStyle w:val="3"/>
              <w:jc w:val="both"/>
              <w:rPr>
                <w:i/>
                <w:sz w:val="20"/>
                <w:szCs w:val="20"/>
              </w:rPr>
            </w:pPr>
            <w:r>
              <w:rPr>
                <w:b/>
                <w:i/>
              </w:rPr>
              <w:t>Paillasse en béton :</w:t>
            </w:r>
          </w:p>
          <w:p>
            <w:pPr>
              <w:pStyle w:val="3"/>
              <w:jc w:val="both"/>
              <w:rPr>
                <w:sz w:val="20"/>
                <w:szCs w:val="20"/>
              </w:rPr>
            </w:pPr>
            <w:r>
              <w:t>Ce prix rémunère dans les conditions prévues au CCTP</w:t>
            </w:r>
          </w:p>
          <w:p>
            <w:pPr>
              <w:pStyle w:val="3"/>
              <w:rPr>
                <w:b/>
                <w:sz w:val="20"/>
                <w:szCs w:val="20"/>
              </w:rPr>
            </w:pPr>
            <w:r>
              <w:rPr>
                <w:b/>
              </w:rPr>
              <w:t>Le mètre linéaire   à                   F CFA</w:t>
            </w:r>
          </w:p>
        </w:tc>
        <w:tc>
          <w:tcPr>
            <w:tcW w:w="700" w:type="dxa"/>
            <w:shd w:val="clear" w:color="auto" w:fill="FFFFFF"/>
            <w:vAlign w:val="center"/>
          </w:tcPr>
          <w:p>
            <w:pPr>
              <w:pStyle w:val="3"/>
              <w:jc w:val="center"/>
              <w:rPr>
                <w:sz w:val="20"/>
                <w:szCs w:val="20"/>
              </w:rPr>
            </w:pPr>
            <w: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7</w:t>
            </w:r>
          </w:p>
        </w:tc>
        <w:tc>
          <w:tcPr>
            <w:tcW w:w="6724" w:type="dxa"/>
            <w:shd w:val="clear" w:color="auto" w:fill="FFFFFF"/>
            <w:vAlign w:val="center"/>
          </w:tcPr>
          <w:p>
            <w:pPr>
              <w:pStyle w:val="3"/>
              <w:jc w:val="center"/>
              <w:rPr>
                <w:b/>
                <w:sz w:val="20"/>
                <w:szCs w:val="20"/>
              </w:rPr>
            </w:pPr>
            <w:r>
              <w:rPr>
                <w:b/>
              </w:rPr>
              <w:t>REVETEMENT SCELLE</w:t>
            </w:r>
          </w:p>
        </w:tc>
        <w:tc>
          <w:tcPr>
            <w:tcW w:w="700" w:type="dxa"/>
            <w:shd w:val="clear" w:color="auto" w:fill="FFFFFF"/>
            <w:vAlign w:val="center"/>
          </w:tcPr>
          <w:p>
            <w:pPr>
              <w:pStyle w:val="3"/>
              <w:jc w:val="center"/>
              <w:rPr>
                <w:sz w:val="20"/>
                <w:szCs w:val="20"/>
              </w:rPr>
            </w:pP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7.1</w:t>
            </w:r>
          </w:p>
        </w:tc>
        <w:tc>
          <w:tcPr>
            <w:tcW w:w="6724" w:type="dxa"/>
            <w:shd w:val="clear" w:color="auto" w:fill="FFFFFF"/>
            <w:vAlign w:val="center"/>
          </w:tcPr>
          <w:p>
            <w:pPr>
              <w:pStyle w:val="3"/>
              <w:jc w:val="both"/>
              <w:rPr>
                <w:i/>
                <w:sz w:val="20"/>
                <w:szCs w:val="20"/>
              </w:rPr>
            </w:pPr>
            <w:r>
              <w:rPr>
                <w:b/>
                <w:i/>
              </w:rPr>
              <w:t>Crées cérame antidérapant 1</w:t>
            </w:r>
            <w:r>
              <w:rPr>
                <w:b/>
                <w:i/>
                <w:vertAlign w:val="superscript"/>
              </w:rPr>
              <w:t>er</w:t>
            </w:r>
            <w:r>
              <w:rPr>
                <w:b/>
                <w:i/>
              </w:rPr>
              <w:t xml:space="preserve"> chot 5x5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7.2</w:t>
            </w:r>
          </w:p>
        </w:tc>
        <w:tc>
          <w:tcPr>
            <w:tcW w:w="6724" w:type="dxa"/>
            <w:shd w:val="clear" w:color="auto" w:fill="FFFFFF"/>
            <w:vAlign w:val="center"/>
          </w:tcPr>
          <w:p>
            <w:pPr>
              <w:pStyle w:val="3"/>
              <w:jc w:val="both"/>
              <w:rPr>
                <w:i/>
                <w:sz w:val="20"/>
                <w:szCs w:val="20"/>
              </w:rPr>
            </w:pPr>
            <w:r>
              <w:rPr>
                <w:b/>
                <w:i/>
              </w:rPr>
              <w:t>Faïence pour pièces humides :</w:t>
            </w:r>
          </w:p>
          <w:p>
            <w:pPr>
              <w:pStyle w:val="3"/>
              <w:jc w:val="both"/>
              <w:rPr>
                <w:sz w:val="20"/>
                <w:szCs w:val="20"/>
              </w:rPr>
            </w:pPr>
            <w:r>
              <w:t>Ce prix rémunère dans les conditions prévues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7.3</w:t>
            </w:r>
          </w:p>
        </w:tc>
        <w:tc>
          <w:tcPr>
            <w:tcW w:w="6724" w:type="dxa"/>
            <w:shd w:val="clear" w:color="auto" w:fill="FFFFFF"/>
            <w:vAlign w:val="center"/>
          </w:tcPr>
          <w:p>
            <w:pPr>
              <w:pStyle w:val="3"/>
              <w:jc w:val="both"/>
              <w:rPr>
                <w:i/>
                <w:sz w:val="20"/>
                <w:szCs w:val="20"/>
              </w:rPr>
            </w:pPr>
            <w:r>
              <w:rPr>
                <w:b/>
                <w:i/>
              </w:rPr>
              <w:t>Plinthes en gré cérame de 15cm de hauteur :</w:t>
            </w:r>
          </w:p>
          <w:p>
            <w:pPr>
              <w:pStyle w:val="3"/>
              <w:jc w:val="both"/>
              <w:rPr>
                <w:sz w:val="20"/>
                <w:szCs w:val="20"/>
              </w:rPr>
            </w:pPr>
            <w:r>
              <w:t>Ce prix rémunère dans les conditions prévues au CCTP</w:t>
            </w:r>
          </w:p>
          <w:p>
            <w:pPr>
              <w:pStyle w:val="3"/>
              <w:rPr>
                <w:b/>
                <w:sz w:val="20"/>
                <w:szCs w:val="20"/>
              </w:rPr>
            </w:pPr>
            <w:r>
              <w:rPr>
                <w:b/>
              </w:rPr>
              <w:t>Le mètre linéaire   à                   F CFA</w:t>
            </w:r>
          </w:p>
        </w:tc>
        <w:tc>
          <w:tcPr>
            <w:tcW w:w="700" w:type="dxa"/>
            <w:shd w:val="clear" w:color="auto" w:fill="FFFFFF"/>
            <w:vAlign w:val="center"/>
          </w:tcPr>
          <w:p>
            <w:pPr>
              <w:pStyle w:val="3"/>
              <w:jc w:val="center"/>
              <w:rPr>
                <w:sz w:val="20"/>
                <w:szCs w:val="20"/>
              </w:rPr>
            </w:pPr>
            <w: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sz w:val="20"/>
                <w:szCs w:val="20"/>
              </w:rPr>
            </w:pPr>
            <w:r>
              <w:t>8</w:t>
            </w:r>
          </w:p>
        </w:tc>
        <w:tc>
          <w:tcPr>
            <w:tcW w:w="6724" w:type="dxa"/>
            <w:shd w:val="clear" w:color="auto" w:fill="FFFFFF"/>
            <w:vAlign w:val="center"/>
          </w:tcPr>
          <w:p>
            <w:pPr>
              <w:pStyle w:val="3"/>
              <w:jc w:val="center"/>
              <w:rPr>
                <w:b/>
                <w:sz w:val="20"/>
                <w:szCs w:val="20"/>
              </w:rPr>
            </w:pPr>
            <w:r>
              <w:rPr>
                <w:b/>
              </w:rPr>
              <w:t>CHARPENTE-COUVERTURE</w:t>
            </w:r>
          </w:p>
        </w:tc>
        <w:tc>
          <w:tcPr>
            <w:tcW w:w="700" w:type="dxa"/>
            <w:shd w:val="clear" w:color="auto" w:fill="FFFFFF"/>
            <w:vAlign w:val="center"/>
          </w:tcPr>
          <w:p>
            <w:pPr>
              <w:pStyle w:val="3"/>
              <w:jc w:val="center"/>
              <w:rPr>
                <w:sz w:val="20"/>
                <w:szCs w:val="20"/>
              </w:rPr>
            </w:pPr>
            <w:r>
              <w:t> </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8.1</w:t>
            </w:r>
          </w:p>
        </w:tc>
        <w:tc>
          <w:tcPr>
            <w:tcW w:w="6724" w:type="dxa"/>
            <w:shd w:val="clear" w:color="auto" w:fill="FFFFFF"/>
            <w:vAlign w:val="center"/>
          </w:tcPr>
          <w:p>
            <w:pPr>
              <w:pStyle w:val="3"/>
              <w:rPr>
                <w:b/>
                <w:i/>
                <w:sz w:val="20"/>
                <w:szCs w:val="20"/>
              </w:rPr>
            </w:pPr>
            <w:r>
              <w:rPr>
                <w:b/>
                <w:i/>
              </w:rPr>
              <w:t xml:space="preserve">Bois de charpente dur traité au xylamon </w:t>
            </w:r>
          </w:p>
          <w:p>
            <w:pPr>
              <w:pStyle w:val="3"/>
              <w:rPr>
                <w:sz w:val="20"/>
                <w:szCs w:val="20"/>
              </w:rPr>
            </w:pPr>
            <w:r>
              <w:t xml:space="preserve"> Ce prix rémunère dans les conditions prévues au contrat :</w:t>
            </w:r>
          </w:p>
          <w:p>
            <w:pPr>
              <w:pStyle w:val="3"/>
              <w:rPr>
                <w:sz w:val="20"/>
                <w:szCs w:val="20"/>
              </w:rPr>
            </w:pPr>
            <w:r>
              <w:t xml:space="preserve">-Le mètre cube  à           </w:t>
            </w:r>
            <w:r>
              <w:rPr>
                <w:b/>
              </w:rPr>
              <w:t xml:space="preserve">  F CFA</w:t>
            </w:r>
          </w:p>
        </w:tc>
        <w:tc>
          <w:tcPr>
            <w:tcW w:w="700" w:type="dxa"/>
            <w:shd w:val="clear" w:color="auto" w:fill="FFFFFF"/>
            <w:vAlign w:val="center"/>
          </w:tcPr>
          <w:p>
            <w:pPr>
              <w:pStyle w:val="3"/>
              <w:jc w:val="center"/>
              <w:rPr>
                <w:sz w:val="20"/>
                <w:szCs w:val="20"/>
              </w:rPr>
            </w:pPr>
            <w:r>
              <w:rPr>
                <w:b/>
              </w:rPr>
              <w:t>M 3</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 8.2</w:t>
            </w:r>
          </w:p>
        </w:tc>
        <w:tc>
          <w:tcPr>
            <w:tcW w:w="6724" w:type="dxa"/>
            <w:shd w:val="clear" w:color="auto" w:fill="FFFFFF"/>
            <w:vAlign w:val="center"/>
          </w:tcPr>
          <w:p>
            <w:pPr>
              <w:pStyle w:val="3"/>
              <w:rPr>
                <w:b/>
                <w:i/>
                <w:sz w:val="20"/>
                <w:szCs w:val="20"/>
              </w:rPr>
            </w:pPr>
            <w:r>
              <w:rPr>
                <w:b/>
                <w:i/>
              </w:rPr>
              <w:t>Planche de rive</w:t>
            </w:r>
          </w:p>
          <w:p>
            <w:pPr>
              <w:pStyle w:val="3"/>
              <w:rPr>
                <w:sz w:val="20"/>
                <w:szCs w:val="20"/>
              </w:rPr>
            </w:pPr>
            <w:r>
              <w:t xml:space="preserve">Ce prix rémunère dans les conditions prévues au contrat : </w:t>
            </w:r>
          </w:p>
          <w:p>
            <w:pPr>
              <w:pStyle w:val="3"/>
              <w:rPr>
                <w:b/>
                <w:sz w:val="20"/>
                <w:szCs w:val="20"/>
              </w:rPr>
            </w:pPr>
            <w:r>
              <w:rPr>
                <w:b/>
              </w:rPr>
              <w:t xml:space="preserve">Le mètre linéaire à                       F CFA </w:t>
            </w:r>
          </w:p>
        </w:tc>
        <w:tc>
          <w:tcPr>
            <w:tcW w:w="700" w:type="dxa"/>
            <w:shd w:val="clear" w:color="auto" w:fill="FFFFFF"/>
            <w:vAlign w:val="center"/>
          </w:tcPr>
          <w:p>
            <w:pPr>
              <w:pStyle w:val="3"/>
              <w:rPr>
                <w:b/>
                <w:sz w:val="20"/>
                <w:szCs w:val="20"/>
              </w:rPr>
            </w:pPr>
            <w:r>
              <w:rPr>
                <w:b/>
              </w:rPr>
              <w:t xml:space="preserve"> 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 8.3</w:t>
            </w:r>
          </w:p>
        </w:tc>
        <w:tc>
          <w:tcPr>
            <w:tcW w:w="6724" w:type="dxa"/>
            <w:shd w:val="clear" w:color="auto" w:fill="FFFFFF"/>
            <w:vAlign w:val="center"/>
          </w:tcPr>
          <w:p>
            <w:pPr>
              <w:pStyle w:val="3"/>
              <w:rPr>
                <w:b/>
                <w:i/>
                <w:sz w:val="20"/>
                <w:szCs w:val="20"/>
              </w:rPr>
            </w:pPr>
            <w:r>
              <w:rPr>
                <w:b/>
                <w:i/>
              </w:rPr>
              <w:t xml:space="preserve"> Tôles de rive :</w:t>
            </w:r>
          </w:p>
          <w:p>
            <w:pPr>
              <w:pStyle w:val="3"/>
              <w:rPr>
                <w:sz w:val="20"/>
                <w:szCs w:val="20"/>
              </w:rPr>
            </w:pPr>
            <w:r>
              <w:t xml:space="preserve"> Ce prix rémunère dans les conditions prévues au contrat :</w:t>
            </w:r>
          </w:p>
          <w:p>
            <w:pPr>
              <w:pStyle w:val="3"/>
              <w:rPr>
                <w:b/>
                <w:sz w:val="20"/>
                <w:szCs w:val="20"/>
              </w:rPr>
            </w:pPr>
            <w:r>
              <w:rPr>
                <w:b/>
              </w:rPr>
              <w:t>Le mètre linéaire à                       F CFA</w:t>
            </w:r>
          </w:p>
        </w:tc>
        <w:tc>
          <w:tcPr>
            <w:tcW w:w="700" w:type="dxa"/>
            <w:shd w:val="clear" w:color="auto" w:fill="FFFFFF"/>
            <w:vAlign w:val="center"/>
          </w:tcPr>
          <w:p>
            <w:pPr>
              <w:pStyle w:val="3"/>
              <w:jc w:val="center"/>
              <w:rPr>
                <w:sz w:val="20"/>
                <w:szCs w:val="20"/>
              </w:rPr>
            </w:pPr>
            <w:r>
              <w:rPr>
                <w:b/>
              </w:rP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 8.4</w:t>
            </w:r>
          </w:p>
        </w:tc>
        <w:tc>
          <w:tcPr>
            <w:tcW w:w="6724" w:type="dxa"/>
            <w:shd w:val="clear" w:color="auto" w:fill="FFFFFF"/>
            <w:vAlign w:val="center"/>
          </w:tcPr>
          <w:p>
            <w:pPr>
              <w:pStyle w:val="3"/>
              <w:jc w:val="both"/>
              <w:rPr>
                <w:b/>
                <w:i/>
                <w:sz w:val="20"/>
                <w:szCs w:val="20"/>
              </w:rPr>
            </w:pPr>
            <w:r>
              <w:rPr>
                <w:b/>
                <w:i/>
              </w:rPr>
              <w:t>Tôle noue :</w:t>
            </w:r>
          </w:p>
          <w:p>
            <w:pPr>
              <w:pStyle w:val="3"/>
              <w:jc w:val="both"/>
              <w:rPr>
                <w:sz w:val="20"/>
                <w:szCs w:val="20"/>
              </w:rPr>
            </w:pPr>
            <w:r>
              <w:t xml:space="preserve">Ce prix rémunère dans les conditions prévues au contrat </w:t>
            </w:r>
          </w:p>
          <w:p>
            <w:pPr>
              <w:pStyle w:val="3"/>
              <w:rPr>
                <w:b/>
                <w:sz w:val="20"/>
                <w:szCs w:val="20"/>
              </w:rPr>
            </w:pPr>
            <w:r>
              <w:rPr>
                <w:b/>
              </w:rPr>
              <w:t>Le mètre linéaire à                       F CFA</w:t>
            </w:r>
          </w:p>
        </w:tc>
        <w:tc>
          <w:tcPr>
            <w:tcW w:w="700" w:type="dxa"/>
            <w:shd w:val="clear" w:color="auto" w:fill="FFFFFF"/>
          </w:tcPr>
          <w:p>
            <w:pPr>
              <w:pStyle w:val="3"/>
              <w:jc w:val="center"/>
              <w:rPr>
                <w:b/>
                <w:sz w:val="20"/>
                <w:szCs w:val="20"/>
              </w:rPr>
            </w:pPr>
          </w:p>
          <w:p>
            <w:pPr>
              <w:pStyle w:val="3"/>
              <w:jc w:val="center"/>
              <w:rPr>
                <w:b/>
                <w:sz w:val="20"/>
                <w:szCs w:val="20"/>
              </w:rPr>
            </w:pPr>
          </w:p>
          <w:p>
            <w:pPr>
              <w:pStyle w:val="3"/>
              <w:rPr>
                <w:sz w:val="20"/>
                <w:szCs w:val="20"/>
              </w:rPr>
            </w:pPr>
            <w:r>
              <w:rPr>
                <w:b/>
              </w:rP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 8.5</w:t>
            </w:r>
          </w:p>
        </w:tc>
        <w:tc>
          <w:tcPr>
            <w:tcW w:w="6724" w:type="dxa"/>
            <w:shd w:val="clear" w:color="auto" w:fill="FFFFFF"/>
            <w:vAlign w:val="center"/>
          </w:tcPr>
          <w:p>
            <w:pPr>
              <w:pStyle w:val="3"/>
              <w:jc w:val="both"/>
              <w:rPr>
                <w:b/>
                <w:i/>
                <w:sz w:val="20"/>
                <w:szCs w:val="20"/>
              </w:rPr>
            </w:pPr>
            <w:r>
              <w:rPr>
                <w:b/>
                <w:i/>
              </w:rPr>
              <w:t xml:space="preserve">Tôle faitière </w:t>
            </w:r>
          </w:p>
          <w:p>
            <w:pPr>
              <w:pStyle w:val="3"/>
              <w:jc w:val="both"/>
              <w:rPr>
                <w:sz w:val="20"/>
                <w:szCs w:val="20"/>
              </w:rPr>
            </w:pPr>
            <w:r>
              <w:t xml:space="preserve"> Ce prix rémunère dans les conditions prévues au contrat au mètre linéaire</w:t>
            </w:r>
          </w:p>
          <w:p>
            <w:pPr>
              <w:pStyle w:val="3"/>
              <w:rPr>
                <w:b/>
                <w:sz w:val="20"/>
                <w:szCs w:val="20"/>
              </w:rPr>
            </w:pPr>
            <w:r>
              <w:rPr>
                <w:b/>
              </w:rPr>
              <w:t>Le mètre linéaire à                       F CFA</w:t>
            </w:r>
          </w:p>
        </w:tc>
        <w:tc>
          <w:tcPr>
            <w:tcW w:w="700" w:type="dxa"/>
            <w:shd w:val="clear" w:color="auto" w:fill="FFFFFF"/>
          </w:tcPr>
          <w:p>
            <w:pPr>
              <w:pStyle w:val="3"/>
              <w:rPr>
                <w:b/>
                <w:sz w:val="20"/>
                <w:szCs w:val="20"/>
              </w:rPr>
            </w:pPr>
          </w:p>
          <w:p>
            <w:pPr>
              <w:pStyle w:val="3"/>
              <w:rPr>
                <w:b/>
                <w:sz w:val="20"/>
                <w:szCs w:val="20"/>
              </w:rPr>
            </w:pPr>
          </w:p>
          <w:p>
            <w:pPr>
              <w:pStyle w:val="3"/>
              <w:rPr>
                <w:sz w:val="20"/>
                <w:szCs w:val="20"/>
              </w:rPr>
            </w:pPr>
            <w:r>
              <w:rPr>
                <w:b/>
              </w:rP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 8.6</w:t>
            </w:r>
          </w:p>
        </w:tc>
        <w:tc>
          <w:tcPr>
            <w:tcW w:w="6724" w:type="dxa"/>
            <w:shd w:val="clear" w:color="auto" w:fill="FFFFFF"/>
            <w:vAlign w:val="center"/>
          </w:tcPr>
          <w:p>
            <w:pPr>
              <w:pStyle w:val="3"/>
              <w:jc w:val="both"/>
              <w:rPr>
                <w:b/>
                <w:i/>
                <w:sz w:val="20"/>
                <w:szCs w:val="20"/>
              </w:rPr>
            </w:pPr>
            <w:r>
              <w:rPr>
                <w:b/>
                <w:i/>
              </w:rPr>
              <w:t>Couverture bac alu nervure de 6/10é- teinte naturelle y compris faitière et tôle de rive:</w:t>
            </w:r>
          </w:p>
          <w:p>
            <w:pPr>
              <w:pStyle w:val="3"/>
              <w:jc w:val="both"/>
              <w:rPr>
                <w:sz w:val="20"/>
                <w:szCs w:val="20"/>
              </w:rPr>
            </w:pPr>
            <w:r>
              <w:t xml:space="preserve"> Ce prix rémunère dans les conditions prévues au contrat le mètre carré de planche tel que décrit au cctp,</w:t>
            </w:r>
          </w:p>
          <w:p>
            <w:pPr>
              <w:pStyle w:val="3"/>
              <w:rPr>
                <w:b/>
                <w:sz w:val="20"/>
                <w:szCs w:val="20"/>
              </w:rPr>
            </w:pPr>
            <w:r>
              <w:rPr>
                <w:b/>
              </w:rPr>
              <w:t>Le Mètre carré à    F CFA</w:t>
            </w:r>
          </w:p>
        </w:tc>
        <w:tc>
          <w:tcPr>
            <w:tcW w:w="700" w:type="dxa"/>
            <w:shd w:val="clear" w:color="auto" w:fill="FFFFFF"/>
            <w:vAlign w:val="center"/>
          </w:tcPr>
          <w:p>
            <w:pPr>
              <w:pStyle w:val="3"/>
              <w:jc w:val="center"/>
              <w:rPr>
                <w:sz w:val="20"/>
                <w:szCs w:val="20"/>
              </w:rPr>
            </w:pPr>
            <w:r>
              <w:rPr>
                <w:b/>
              </w:rPr>
              <w:t>m</w:t>
            </w:r>
            <w:r>
              <w:rPr>
                <w:b/>
                <w:vertAlign w:val="superscript"/>
              </w:rPr>
              <w:t>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8.7</w:t>
            </w:r>
          </w:p>
        </w:tc>
        <w:tc>
          <w:tcPr>
            <w:tcW w:w="6724" w:type="dxa"/>
            <w:shd w:val="clear" w:color="auto" w:fill="FFFFFF"/>
            <w:vAlign w:val="center"/>
          </w:tcPr>
          <w:p>
            <w:pPr>
              <w:pStyle w:val="3"/>
              <w:jc w:val="both"/>
              <w:rPr>
                <w:b/>
                <w:i/>
                <w:sz w:val="20"/>
                <w:szCs w:val="20"/>
              </w:rPr>
            </w:pPr>
            <w:r>
              <w:rPr>
                <w:b/>
                <w:i/>
              </w:rPr>
              <w:t xml:space="preserve">Gouttière préfabriquée en acier  </w:t>
            </w:r>
          </w:p>
          <w:p>
            <w:pPr>
              <w:pStyle w:val="3"/>
              <w:jc w:val="both"/>
              <w:rPr>
                <w:b/>
                <w:sz w:val="20"/>
                <w:szCs w:val="20"/>
              </w:rPr>
            </w:pPr>
            <w:r>
              <w:t>Ce prix rémunère dans les conditions prévues au contrat le mètre linéaire de planche tel que décrit au cctp,</w:t>
            </w:r>
          </w:p>
          <w:p>
            <w:pPr>
              <w:pStyle w:val="3"/>
              <w:jc w:val="both"/>
              <w:rPr>
                <w:b/>
                <w:sz w:val="20"/>
                <w:szCs w:val="20"/>
              </w:rPr>
            </w:pPr>
            <w:r>
              <w:rPr>
                <w:b/>
              </w:rPr>
              <w:t>Le mètre linéaire à                 F CFA</w:t>
            </w:r>
          </w:p>
        </w:tc>
        <w:tc>
          <w:tcPr>
            <w:tcW w:w="700" w:type="dxa"/>
            <w:shd w:val="clear" w:color="auto" w:fill="FFFFFF"/>
            <w:vAlign w:val="center"/>
          </w:tcPr>
          <w:p>
            <w:pPr>
              <w:pStyle w:val="3"/>
              <w:jc w:val="center"/>
              <w:rPr>
                <w:b/>
                <w:sz w:val="20"/>
                <w:szCs w:val="20"/>
              </w:rPr>
            </w:pPr>
            <w:r>
              <w:rPr>
                <w:b/>
              </w:rP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8.8</w:t>
            </w:r>
          </w:p>
        </w:tc>
        <w:tc>
          <w:tcPr>
            <w:tcW w:w="6724" w:type="dxa"/>
            <w:shd w:val="clear" w:color="auto" w:fill="FFFFFF"/>
            <w:vAlign w:val="center"/>
          </w:tcPr>
          <w:p>
            <w:pPr>
              <w:pStyle w:val="3"/>
              <w:jc w:val="both"/>
              <w:rPr>
                <w:b/>
                <w:i/>
                <w:sz w:val="20"/>
                <w:szCs w:val="20"/>
              </w:rPr>
            </w:pPr>
            <w:r>
              <w:rPr>
                <w:b/>
                <w:i/>
              </w:rPr>
              <w:t xml:space="preserve">Plafond en contreplaqué </w:t>
            </w:r>
          </w:p>
          <w:p>
            <w:pPr>
              <w:pStyle w:val="3"/>
              <w:jc w:val="both"/>
              <w:rPr>
                <w:sz w:val="20"/>
                <w:szCs w:val="20"/>
              </w:rPr>
            </w:pPr>
            <w:r>
              <w:t xml:space="preserve"> Ce prix rémunère dans les conditions prévues au contrat le mètre carré de contreplaqué  tel que décrit au cctp,</w:t>
            </w:r>
          </w:p>
          <w:p>
            <w:pPr>
              <w:pStyle w:val="3"/>
              <w:jc w:val="both"/>
              <w:rPr>
                <w:b/>
                <w:i/>
                <w:sz w:val="20"/>
                <w:szCs w:val="20"/>
              </w:rPr>
            </w:pPr>
            <w:r>
              <w:rPr>
                <w:b/>
              </w:rPr>
              <w:t>Le Mètre carré à      F CFA</w:t>
            </w:r>
          </w:p>
        </w:tc>
        <w:tc>
          <w:tcPr>
            <w:tcW w:w="700" w:type="dxa"/>
            <w:shd w:val="clear" w:color="auto" w:fill="FFFFFF"/>
            <w:vAlign w:val="center"/>
          </w:tcPr>
          <w:p>
            <w:pPr>
              <w:pStyle w:val="3"/>
              <w:jc w:val="center"/>
              <w:rPr>
                <w:b/>
                <w:sz w:val="20"/>
                <w:szCs w:val="20"/>
              </w:rPr>
            </w:pPr>
            <w:r>
              <w:rPr>
                <w:b/>
              </w:rPr>
              <w:t>m</w:t>
            </w:r>
            <w:r>
              <w:rPr>
                <w:b/>
                <w:vertAlign w:val="superscript"/>
              </w:rPr>
              <w:t>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8.9</w:t>
            </w:r>
          </w:p>
        </w:tc>
        <w:tc>
          <w:tcPr>
            <w:tcW w:w="6724" w:type="dxa"/>
            <w:shd w:val="clear" w:color="auto" w:fill="FFFFFF"/>
            <w:vAlign w:val="center"/>
          </w:tcPr>
          <w:p>
            <w:pPr>
              <w:pStyle w:val="3"/>
              <w:jc w:val="both"/>
              <w:rPr>
                <w:b/>
                <w:i/>
                <w:sz w:val="20"/>
                <w:szCs w:val="20"/>
              </w:rPr>
            </w:pPr>
            <w:r>
              <w:rPr>
                <w:b/>
                <w:i/>
              </w:rPr>
              <w:t>Plafond en tôle lisse :</w:t>
            </w:r>
          </w:p>
          <w:p>
            <w:pPr>
              <w:pStyle w:val="3"/>
              <w:jc w:val="both"/>
              <w:rPr>
                <w:sz w:val="20"/>
                <w:szCs w:val="20"/>
              </w:rPr>
            </w:pPr>
            <w:r>
              <w:t xml:space="preserve"> Ce prix rémunère dans les conditions prévues au contrat le mètre carré de tôle lisse  tel que décrit au cctp,</w:t>
            </w:r>
          </w:p>
          <w:p>
            <w:pPr>
              <w:pStyle w:val="3"/>
              <w:jc w:val="both"/>
              <w:rPr>
                <w:b/>
                <w:i/>
                <w:sz w:val="20"/>
                <w:szCs w:val="20"/>
              </w:rPr>
            </w:pPr>
            <w:r>
              <w:rPr>
                <w:b/>
              </w:rPr>
              <w:t>Le Mètre carré à                 F CFA</w:t>
            </w:r>
          </w:p>
        </w:tc>
        <w:tc>
          <w:tcPr>
            <w:tcW w:w="700" w:type="dxa"/>
            <w:shd w:val="clear" w:color="auto" w:fill="FFFFFF"/>
            <w:vAlign w:val="center"/>
          </w:tcPr>
          <w:p>
            <w:pPr>
              <w:pStyle w:val="3"/>
              <w:jc w:val="center"/>
              <w:rPr>
                <w:b/>
                <w:sz w:val="20"/>
                <w:szCs w:val="20"/>
              </w:rPr>
            </w:pPr>
            <w:r>
              <w:rPr>
                <w:b/>
              </w:rPr>
              <w:t>m</w:t>
            </w:r>
            <w:r>
              <w:rPr>
                <w:b/>
                <w:vertAlign w:val="superscript"/>
              </w:rPr>
              <w:t>2</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8.10</w:t>
            </w:r>
          </w:p>
        </w:tc>
        <w:tc>
          <w:tcPr>
            <w:tcW w:w="6724" w:type="dxa"/>
            <w:shd w:val="clear" w:color="auto" w:fill="FFFFFF"/>
            <w:vAlign w:val="center"/>
          </w:tcPr>
          <w:p>
            <w:pPr>
              <w:pStyle w:val="3"/>
              <w:jc w:val="both"/>
              <w:rPr>
                <w:b/>
                <w:i/>
                <w:sz w:val="20"/>
                <w:szCs w:val="20"/>
              </w:rPr>
            </w:pPr>
            <w:r>
              <w:rPr>
                <w:b/>
                <w:i/>
              </w:rPr>
              <w:t>Descente d’eau en PVC</w:t>
            </w:r>
          </w:p>
          <w:p>
            <w:pPr>
              <w:pStyle w:val="3"/>
              <w:jc w:val="both"/>
              <w:rPr>
                <w:sz w:val="20"/>
                <w:szCs w:val="20"/>
              </w:rPr>
            </w:pPr>
            <w:r>
              <w:t xml:space="preserve"> Ce prix rémunère dans les conditions prévues au contrat au mètre linéaire</w:t>
            </w:r>
          </w:p>
          <w:p>
            <w:pPr>
              <w:pStyle w:val="3"/>
              <w:jc w:val="both"/>
              <w:rPr>
                <w:b/>
                <w:i/>
                <w:sz w:val="20"/>
                <w:szCs w:val="20"/>
              </w:rPr>
            </w:pPr>
            <w:r>
              <w:rPr>
                <w:b/>
              </w:rPr>
              <w:t>Le mètre linéaire à                       F CFA</w:t>
            </w:r>
          </w:p>
        </w:tc>
        <w:tc>
          <w:tcPr>
            <w:tcW w:w="700" w:type="dxa"/>
            <w:shd w:val="clear" w:color="auto" w:fill="FFFFFF"/>
          </w:tcPr>
          <w:p>
            <w:pPr>
              <w:pStyle w:val="3"/>
              <w:rPr>
                <w:b/>
                <w:sz w:val="20"/>
                <w:szCs w:val="20"/>
              </w:rPr>
            </w:pPr>
          </w:p>
          <w:p>
            <w:pPr>
              <w:pStyle w:val="3"/>
              <w:rPr>
                <w:b/>
                <w:sz w:val="20"/>
                <w:szCs w:val="20"/>
              </w:rPr>
            </w:pPr>
          </w:p>
          <w:p>
            <w:pPr>
              <w:pStyle w:val="3"/>
              <w:jc w:val="center"/>
              <w:rPr>
                <w:b/>
                <w:sz w:val="20"/>
                <w:szCs w:val="20"/>
              </w:rPr>
            </w:pPr>
            <w:r>
              <w:rPr>
                <w:b/>
              </w:rPr>
              <w:t>ml</w:t>
            </w:r>
          </w:p>
        </w:tc>
        <w:tc>
          <w:tcPr>
            <w:tcW w:w="1338" w:type="dxa"/>
            <w:shd w:val="clear" w:color="auto" w:fill="FFFFFF"/>
            <w:vAlign w:val="center"/>
          </w:tcPr>
          <w:p>
            <w:pPr>
              <w:pStyle w:val="3"/>
              <w:jc w:val="center"/>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right"/>
              <w:rPr>
                <w:b/>
                <w:sz w:val="20"/>
                <w:szCs w:val="20"/>
              </w:rPr>
            </w:pPr>
            <w:r>
              <w:rPr>
                <w:b/>
              </w:rPr>
              <w:t>9</w:t>
            </w:r>
          </w:p>
        </w:tc>
        <w:tc>
          <w:tcPr>
            <w:tcW w:w="6724" w:type="dxa"/>
            <w:shd w:val="clear" w:color="auto" w:fill="FFFFFF"/>
            <w:vAlign w:val="center"/>
          </w:tcPr>
          <w:p>
            <w:pPr>
              <w:pStyle w:val="3"/>
              <w:jc w:val="center"/>
              <w:rPr>
                <w:b/>
                <w:sz w:val="20"/>
                <w:szCs w:val="20"/>
              </w:rPr>
            </w:pPr>
            <w:r>
              <w:rPr>
                <w:b/>
              </w:rPr>
              <w:t>MACONNERIE- BOIS</w:t>
            </w:r>
          </w:p>
        </w:tc>
        <w:tc>
          <w:tcPr>
            <w:tcW w:w="700" w:type="dxa"/>
            <w:shd w:val="clear" w:color="auto" w:fill="FFFFFF"/>
            <w:vAlign w:val="center"/>
          </w:tcPr>
          <w:p>
            <w:pPr>
              <w:pStyle w:val="3"/>
              <w:jc w:val="center"/>
              <w:rPr>
                <w:sz w:val="20"/>
                <w:szCs w:val="20"/>
              </w:rPr>
            </w:pPr>
            <w:r>
              <w:t> </w:t>
            </w:r>
          </w:p>
        </w:tc>
        <w:tc>
          <w:tcPr>
            <w:tcW w:w="1338" w:type="dxa"/>
            <w:shd w:val="clear" w:color="auto" w:fill="FFFFFF"/>
            <w:vAlign w:val="center"/>
          </w:tcPr>
          <w:p>
            <w:pPr>
              <w:pStyle w:val="3"/>
              <w:jc w:val="center"/>
              <w:rPr>
                <w:sz w:val="20"/>
                <w:szCs w:val="20"/>
              </w:rPr>
            </w:pPr>
            <w:r>
              <w:t> </w:t>
            </w: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9.1</w:t>
            </w:r>
          </w:p>
        </w:tc>
        <w:tc>
          <w:tcPr>
            <w:tcW w:w="6724" w:type="dxa"/>
            <w:shd w:val="clear" w:color="auto" w:fill="FFFFFF"/>
            <w:vAlign w:val="center"/>
          </w:tcPr>
          <w:p>
            <w:pPr>
              <w:pStyle w:val="3"/>
              <w:jc w:val="both"/>
              <w:rPr>
                <w:b/>
                <w:i/>
                <w:sz w:val="20"/>
                <w:szCs w:val="20"/>
              </w:rPr>
            </w:pPr>
            <w:r>
              <w:rPr>
                <w:b/>
                <w:i/>
              </w:rPr>
              <w:t>Porte iso plane 0,7x2,10 P1</w:t>
            </w:r>
          </w:p>
          <w:p>
            <w:pPr>
              <w:pStyle w:val="3"/>
              <w:jc w:val="both"/>
              <w:rPr>
                <w:sz w:val="20"/>
                <w:szCs w:val="20"/>
              </w:rPr>
            </w:pPr>
            <w:r>
              <w:t>Ce prix rémunère dans les conditions prévues au contrat à l’unité :</w:t>
            </w:r>
          </w:p>
          <w:p>
            <w:pPr>
              <w:pStyle w:val="3"/>
              <w:jc w:val="both"/>
              <w:rPr>
                <w:b/>
                <w:sz w:val="20"/>
                <w:szCs w:val="20"/>
              </w:rPr>
            </w:pPr>
            <w:r>
              <w:rPr>
                <w:b/>
              </w:rPr>
              <w:t>L’unité à                 F CFA</w:t>
            </w:r>
          </w:p>
        </w:tc>
        <w:tc>
          <w:tcPr>
            <w:tcW w:w="700"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9.2</w:t>
            </w:r>
          </w:p>
        </w:tc>
        <w:tc>
          <w:tcPr>
            <w:tcW w:w="6724" w:type="dxa"/>
            <w:shd w:val="clear" w:color="auto" w:fill="FFFFFF"/>
            <w:vAlign w:val="center"/>
          </w:tcPr>
          <w:p>
            <w:pPr>
              <w:pStyle w:val="3"/>
              <w:jc w:val="both"/>
              <w:rPr>
                <w:sz w:val="20"/>
                <w:szCs w:val="20"/>
              </w:rPr>
            </w:pPr>
            <w:r>
              <w:rPr>
                <w:b/>
                <w:i/>
              </w:rPr>
              <w:t>Porte iso plane 1,00x2,10 P12</w:t>
            </w:r>
          </w:p>
          <w:p>
            <w:pPr>
              <w:pStyle w:val="3"/>
              <w:jc w:val="both"/>
              <w:rPr>
                <w:sz w:val="20"/>
                <w:szCs w:val="20"/>
              </w:rPr>
            </w:pPr>
            <w:r>
              <w:t>Ce prix rémunère dans les conditions prévues au contrat à l’unité :</w:t>
            </w:r>
          </w:p>
          <w:p>
            <w:pPr>
              <w:pStyle w:val="3"/>
              <w:jc w:val="both"/>
              <w:rPr>
                <w:b/>
                <w:sz w:val="20"/>
                <w:szCs w:val="20"/>
              </w:rPr>
            </w:pPr>
            <w:r>
              <w:rPr>
                <w:b/>
              </w:rPr>
              <w:t>L’unité à                 F CFA</w:t>
            </w:r>
          </w:p>
        </w:tc>
        <w:tc>
          <w:tcPr>
            <w:tcW w:w="700"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9.3</w:t>
            </w:r>
          </w:p>
        </w:tc>
        <w:tc>
          <w:tcPr>
            <w:tcW w:w="6724" w:type="dxa"/>
            <w:shd w:val="clear" w:color="auto" w:fill="FFFFFF"/>
            <w:vAlign w:val="center"/>
          </w:tcPr>
          <w:p>
            <w:pPr>
              <w:pStyle w:val="3"/>
              <w:jc w:val="both"/>
              <w:rPr>
                <w:b/>
                <w:i/>
                <w:sz w:val="20"/>
                <w:szCs w:val="20"/>
              </w:rPr>
            </w:pPr>
            <w:r>
              <w:rPr>
                <w:b/>
                <w:i/>
              </w:rPr>
              <w:t>Fenêtre châssis naco 10 lames 1,50 m y compris toile moustiquaire (CN)</w:t>
            </w:r>
          </w:p>
          <w:p>
            <w:pPr>
              <w:pStyle w:val="3"/>
              <w:jc w:val="both"/>
              <w:rPr>
                <w:sz w:val="20"/>
                <w:szCs w:val="20"/>
              </w:rPr>
            </w:pPr>
            <w:r>
              <w:t>Ce prix rémunère dans les conditions prévues au contrat à l’unité :</w:t>
            </w:r>
          </w:p>
          <w:p>
            <w:pPr>
              <w:pStyle w:val="3"/>
              <w:rPr>
                <w:b/>
                <w:sz w:val="20"/>
                <w:szCs w:val="20"/>
              </w:rPr>
            </w:pPr>
            <w:r>
              <w:rPr>
                <w:b/>
              </w:rPr>
              <w:t>L’unité à                 F CFA</w:t>
            </w:r>
          </w:p>
        </w:tc>
        <w:tc>
          <w:tcPr>
            <w:tcW w:w="700"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1338" w:type="dxa"/>
            <w:shd w:val="clear" w:color="auto" w:fill="FFFFFF"/>
            <w:vAlign w:val="center"/>
          </w:tcPr>
          <w:p>
            <w:pPr>
              <w:pStyle w:val="3"/>
              <w:jc w:val="right"/>
              <w:rPr>
                <w:b/>
                <w:sz w:val="20"/>
                <w:szCs w:val="20"/>
              </w:rPr>
            </w:pPr>
            <w:r>
              <w:rPr>
                <w:b/>
              </w:rPr>
              <w:t> </w:t>
            </w: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9.4</w:t>
            </w:r>
          </w:p>
        </w:tc>
        <w:tc>
          <w:tcPr>
            <w:tcW w:w="6724" w:type="dxa"/>
            <w:shd w:val="clear" w:color="auto" w:fill="FFFFFF"/>
            <w:vAlign w:val="center"/>
          </w:tcPr>
          <w:p>
            <w:pPr>
              <w:pStyle w:val="3"/>
              <w:jc w:val="both"/>
              <w:rPr>
                <w:sz w:val="20"/>
                <w:szCs w:val="20"/>
              </w:rPr>
            </w:pPr>
            <w:r>
              <w:rPr>
                <w:b/>
                <w:i/>
              </w:rPr>
              <w:t>Fenêtre châssis naco 7 lames 0,60 m y compris toile moustiquaire (CN)</w:t>
            </w:r>
          </w:p>
          <w:p>
            <w:pPr>
              <w:pStyle w:val="3"/>
              <w:jc w:val="both"/>
              <w:rPr>
                <w:sz w:val="20"/>
                <w:szCs w:val="20"/>
              </w:rPr>
            </w:pPr>
            <w:r>
              <w:t>Ce prix rémunère dans les conditions prévues au contrat à l’unité :</w:t>
            </w:r>
          </w:p>
          <w:p>
            <w:pPr>
              <w:pStyle w:val="3"/>
              <w:rPr>
                <w:b/>
                <w:sz w:val="20"/>
                <w:szCs w:val="20"/>
              </w:rPr>
            </w:pPr>
            <w:r>
              <w:rPr>
                <w:b/>
              </w:rPr>
              <w:t>L’unité à                 F CFA</w:t>
            </w:r>
          </w:p>
        </w:tc>
        <w:tc>
          <w:tcPr>
            <w:tcW w:w="700"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9.5</w:t>
            </w:r>
          </w:p>
        </w:tc>
        <w:tc>
          <w:tcPr>
            <w:tcW w:w="6724" w:type="dxa"/>
            <w:shd w:val="clear" w:color="auto" w:fill="FFFFFF"/>
            <w:vAlign w:val="center"/>
          </w:tcPr>
          <w:p>
            <w:pPr>
              <w:pStyle w:val="3"/>
              <w:jc w:val="both"/>
              <w:rPr>
                <w:sz w:val="20"/>
                <w:szCs w:val="20"/>
              </w:rPr>
            </w:pPr>
            <w:r>
              <w:rPr>
                <w:b/>
                <w:i/>
              </w:rPr>
              <w:t xml:space="preserve">Placards de 0,8x3 en CP ép 0,19 y compris étagères </w:t>
            </w:r>
          </w:p>
          <w:p>
            <w:pPr>
              <w:pStyle w:val="3"/>
              <w:jc w:val="both"/>
              <w:rPr>
                <w:sz w:val="20"/>
                <w:szCs w:val="20"/>
              </w:rPr>
            </w:pPr>
            <w:r>
              <w:t>Ce prix rémunère dans les conditions prévues au contrat à l’unité :</w:t>
            </w:r>
          </w:p>
          <w:p>
            <w:pPr>
              <w:pStyle w:val="3"/>
              <w:jc w:val="both"/>
              <w:rPr>
                <w:b/>
                <w:i/>
                <w:sz w:val="20"/>
                <w:szCs w:val="20"/>
              </w:rPr>
            </w:pPr>
            <w:r>
              <w:rPr>
                <w:b/>
              </w:rPr>
              <w:t>L’unité à                 F CFA</w:t>
            </w:r>
          </w:p>
        </w:tc>
        <w:tc>
          <w:tcPr>
            <w:tcW w:w="700" w:type="dxa"/>
            <w:shd w:val="clear" w:color="auto" w:fill="FFFFFF"/>
            <w:vAlign w:val="center"/>
          </w:tcPr>
          <w:p>
            <w:pPr>
              <w:pStyle w:val="3"/>
              <w:jc w:val="center"/>
              <w:rPr>
                <w:b/>
                <w:sz w:val="20"/>
                <w:szCs w:val="20"/>
              </w:rPr>
            </w:pPr>
            <w:r>
              <w:rPr>
                <w:b/>
              </w:rPr>
              <w:t xml:space="preserve"> U</w:t>
            </w:r>
          </w:p>
          <w:p>
            <w:pPr>
              <w:pStyle w:val="3"/>
              <w:jc w:val="center"/>
              <w:rPr>
                <w:b/>
                <w:sz w:val="20"/>
                <w:szCs w:val="20"/>
              </w:rPr>
            </w:pP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sz w:val="20"/>
                <w:szCs w:val="20"/>
              </w:rPr>
            </w:pPr>
            <w:r>
              <w:t>9.6</w:t>
            </w:r>
          </w:p>
        </w:tc>
        <w:tc>
          <w:tcPr>
            <w:tcW w:w="6724" w:type="dxa"/>
            <w:shd w:val="clear" w:color="auto" w:fill="FFFFFF"/>
            <w:vAlign w:val="center"/>
          </w:tcPr>
          <w:p>
            <w:pPr>
              <w:pStyle w:val="3"/>
              <w:jc w:val="both"/>
              <w:rPr>
                <w:sz w:val="20"/>
                <w:szCs w:val="20"/>
              </w:rPr>
            </w:pPr>
            <w:r>
              <w:rPr>
                <w:b/>
                <w:i/>
              </w:rPr>
              <w:t>Grille antivol</w:t>
            </w:r>
          </w:p>
          <w:p>
            <w:pPr>
              <w:pStyle w:val="3"/>
              <w:jc w:val="both"/>
              <w:rPr>
                <w:sz w:val="20"/>
                <w:szCs w:val="20"/>
              </w:rPr>
            </w:pPr>
            <w:r>
              <w:t>Ce prix rémunère dans les conditions prévues au contrat à l’unité :</w:t>
            </w:r>
          </w:p>
          <w:p>
            <w:pPr>
              <w:pStyle w:val="3"/>
              <w:jc w:val="both"/>
              <w:rPr>
                <w:b/>
                <w:i/>
                <w:sz w:val="20"/>
                <w:szCs w:val="20"/>
              </w:rPr>
            </w:pPr>
            <w:r>
              <w:rPr>
                <w:b/>
              </w:rPr>
              <w:t>L’unité à                 F CFA</w:t>
            </w:r>
          </w:p>
        </w:tc>
        <w:tc>
          <w:tcPr>
            <w:tcW w:w="700"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1338" w:type="dxa"/>
            <w:shd w:val="clear" w:color="auto" w:fill="FFFFFF"/>
            <w:vAlign w:val="center"/>
          </w:tcPr>
          <w:p>
            <w:pPr>
              <w:pStyle w:val="3"/>
              <w:jc w:val="right"/>
              <w:rPr>
                <w:b/>
                <w:sz w:val="20"/>
                <w:szCs w:val="20"/>
              </w:rPr>
            </w:pPr>
          </w:p>
        </w:tc>
      </w:tr>
      <w:tr>
        <w:tblPrEx>
          <w:tblLayout w:type="fixed"/>
        </w:tblPrEx>
        <w:trPr>
          <w:cantSplit/>
          <w:trHeight w:val="600" w:hRule="atLeast"/>
          <w:tblHeader/>
        </w:trPr>
        <w:tc>
          <w:tcPr>
            <w:tcW w:w="860" w:type="dxa"/>
            <w:shd w:val="clear" w:color="auto" w:fill="FFFFFF"/>
            <w:vAlign w:val="center"/>
          </w:tcPr>
          <w:p>
            <w:pPr>
              <w:pStyle w:val="3"/>
              <w:jc w:val="center"/>
              <w:rPr>
                <w:b/>
                <w:sz w:val="20"/>
                <w:szCs w:val="20"/>
              </w:rPr>
            </w:pPr>
            <w:r>
              <w:rPr>
                <w:b/>
              </w:rPr>
              <w:t>12</w:t>
            </w:r>
          </w:p>
        </w:tc>
        <w:tc>
          <w:tcPr>
            <w:tcW w:w="6724" w:type="dxa"/>
            <w:shd w:val="clear" w:color="auto" w:fill="FFFFFF"/>
            <w:vAlign w:val="center"/>
          </w:tcPr>
          <w:p>
            <w:pPr>
              <w:pStyle w:val="3"/>
              <w:rPr>
                <w:b/>
                <w:sz w:val="20"/>
                <w:szCs w:val="20"/>
              </w:rPr>
            </w:pPr>
            <w:r>
              <w:rPr>
                <w:b/>
              </w:rPr>
              <w:t>LOT 12: ELECTRICITE</w:t>
            </w:r>
          </w:p>
        </w:tc>
        <w:tc>
          <w:tcPr>
            <w:tcW w:w="700" w:type="dxa"/>
            <w:shd w:val="clear" w:color="auto" w:fill="FFFFFF"/>
            <w:vAlign w:val="center"/>
          </w:tcPr>
          <w:p>
            <w:pPr>
              <w:pStyle w:val="3"/>
              <w:jc w:val="center"/>
              <w:rPr>
                <w:sz w:val="20"/>
                <w:szCs w:val="20"/>
              </w:rPr>
            </w:pPr>
          </w:p>
        </w:tc>
        <w:tc>
          <w:tcPr>
            <w:tcW w:w="1338" w:type="dxa"/>
            <w:shd w:val="clear" w:color="auto" w:fill="FFFFFF"/>
            <w:vAlign w:val="center"/>
          </w:tcPr>
          <w:p>
            <w:pPr>
              <w:pStyle w:val="3"/>
              <w:jc w:val="center"/>
              <w:rPr>
                <w:sz w:val="20"/>
                <w:szCs w:val="20"/>
              </w:rPr>
            </w:pPr>
            <w:r>
              <w:t> </w:t>
            </w: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 12.1</w:t>
            </w:r>
          </w:p>
        </w:tc>
        <w:tc>
          <w:tcPr>
            <w:tcW w:w="6724" w:type="dxa"/>
            <w:shd w:val="clear" w:color="auto" w:fill="FFFFFF"/>
            <w:vAlign w:val="bottom"/>
          </w:tcPr>
          <w:p>
            <w:pPr>
              <w:pStyle w:val="3"/>
              <w:jc w:val="both"/>
              <w:rPr>
                <w:b/>
                <w:i/>
                <w:sz w:val="20"/>
                <w:szCs w:val="20"/>
              </w:rPr>
            </w:pPr>
            <w:r>
              <w:rPr>
                <w:b/>
                <w:i/>
              </w:rPr>
              <w:t>Circuit de terre et mise à la terre:</w:t>
            </w:r>
          </w:p>
          <w:p>
            <w:pPr>
              <w:pStyle w:val="3"/>
              <w:jc w:val="both"/>
              <w:rPr>
                <w:sz w:val="20"/>
                <w:szCs w:val="20"/>
              </w:rPr>
            </w:pPr>
            <w:r>
              <w:t>Ce prix rémunère dans les conditions prévues au contrat.</w:t>
            </w:r>
          </w:p>
          <w:p>
            <w:pPr>
              <w:pStyle w:val="3"/>
              <w:jc w:val="both"/>
              <w:rPr>
                <w:b/>
                <w:sz w:val="20"/>
                <w:szCs w:val="20"/>
              </w:rPr>
            </w:pPr>
            <w:r>
              <w:rPr>
                <w:b/>
              </w:rPr>
              <w:t>Le mètre linéaire   à                  F CFA</w:t>
            </w:r>
          </w:p>
        </w:tc>
        <w:tc>
          <w:tcPr>
            <w:tcW w:w="700" w:type="dxa"/>
            <w:shd w:val="clear" w:color="auto" w:fill="FFFFFF"/>
            <w:vAlign w:val="bottom"/>
          </w:tcPr>
          <w:p>
            <w:pPr>
              <w:pStyle w:val="3"/>
              <w:rPr>
                <w:i/>
                <w:sz w:val="20"/>
                <w:szCs w:val="20"/>
              </w:rPr>
            </w:pPr>
            <w:r>
              <w:rPr>
                <w:i/>
              </w:rPr>
              <w:t>ml</w:t>
            </w:r>
          </w:p>
        </w:tc>
        <w:tc>
          <w:tcPr>
            <w:tcW w:w="1338" w:type="dxa"/>
            <w:shd w:val="clear" w:color="auto" w:fill="FFFFFF"/>
            <w:vAlign w:val="center"/>
          </w:tcPr>
          <w:p>
            <w:pPr>
              <w:pStyle w:val="3"/>
              <w:jc w:val="right"/>
              <w:rPr>
                <w:b/>
                <w:sz w:val="20"/>
                <w:szCs w:val="20"/>
              </w:rPr>
            </w:pPr>
            <w:r>
              <w:rPr>
                <w:b/>
              </w:rPr>
              <w:t> </w:t>
            </w: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 12.1.1</w:t>
            </w:r>
          </w:p>
        </w:tc>
        <w:tc>
          <w:tcPr>
            <w:tcW w:w="6724" w:type="dxa"/>
            <w:shd w:val="clear" w:color="auto" w:fill="FFFFFF"/>
            <w:vAlign w:val="bottom"/>
          </w:tcPr>
          <w:p>
            <w:pPr>
              <w:pStyle w:val="3"/>
              <w:jc w:val="both"/>
              <w:rPr>
                <w:b/>
                <w:i/>
                <w:sz w:val="20"/>
                <w:szCs w:val="20"/>
              </w:rPr>
            </w:pPr>
            <w:r>
              <w:rPr>
                <w:b/>
                <w:i/>
              </w:rPr>
              <w:t>Ceinture de terre:</w:t>
            </w:r>
          </w:p>
          <w:p>
            <w:pPr>
              <w:pStyle w:val="3"/>
              <w:jc w:val="both"/>
              <w:rPr>
                <w:sz w:val="20"/>
                <w:szCs w:val="20"/>
              </w:rPr>
            </w:pPr>
            <w:r>
              <w:t>Ce prix rémunère dans les conditions prévues au contrat</w:t>
            </w:r>
          </w:p>
          <w:p>
            <w:pPr>
              <w:pStyle w:val="3"/>
              <w:jc w:val="both"/>
              <w:rPr>
                <w:b/>
                <w:sz w:val="20"/>
                <w:szCs w:val="20"/>
              </w:rPr>
            </w:pPr>
            <w:r>
              <w:rPr>
                <w:b/>
              </w:rPr>
              <w:t xml:space="preserve">L’ensemble   à                   F CFA </w:t>
            </w:r>
          </w:p>
        </w:tc>
        <w:tc>
          <w:tcPr>
            <w:tcW w:w="700" w:type="dxa"/>
            <w:shd w:val="clear" w:color="auto" w:fill="FFFFFF"/>
            <w:vAlign w:val="bottom"/>
          </w:tcPr>
          <w:p>
            <w:pPr>
              <w:pStyle w:val="3"/>
              <w:rPr>
                <w:b/>
                <w:sz w:val="20"/>
                <w:szCs w:val="20"/>
              </w:rPr>
            </w:pPr>
            <w:r>
              <w:rPr>
                <w:b/>
              </w:rPr>
              <w:t>ml</w:t>
            </w:r>
          </w:p>
        </w:tc>
        <w:tc>
          <w:tcPr>
            <w:tcW w:w="1338" w:type="dxa"/>
            <w:shd w:val="clear" w:color="auto" w:fill="FFFFFF"/>
            <w:vAlign w:val="center"/>
          </w:tcPr>
          <w:p>
            <w:pPr>
              <w:pStyle w:val="3"/>
              <w:jc w:val="right"/>
              <w:rPr>
                <w:b/>
                <w:sz w:val="20"/>
                <w:szCs w:val="20"/>
              </w:rPr>
            </w:pPr>
            <w:r>
              <w:rPr>
                <w:b/>
              </w:rPr>
              <w:t> </w:t>
            </w: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12.1.2</w:t>
            </w:r>
          </w:p>
        </w:tc>
        <w:tc>
          <w:tcPr>
            <w:tcW w:w="6724" w:type="dxa"/>
            <w:shd w:val="clear" w:color="auto" w:fill="FFFFFF"/>
            <w:vAlign w:val="bottom"/>
          </w:tcPr>
          <w:p>
            <w:pPr>
              <w:pStyle w:val="3"/>
              <w:jc w:val="both"/>
              <w:rPr>
                <w:b/>
                <w:i/>
                <w:sz w:val="20"/>
                <w:szCs w:val="20"/>
              </w:rPr>
            </w:pPr>
            <w:r>
              <w:rPr>
                <w:b/>
                <w:i/>
              </w:rPr>
              <w:t>Liaison équipotentielles :</w:t>
            </w:r>
          </w:p>
          <w:p>
            <w:pPr>
              <w:pStyle w:val="3"/>
              <w:jc w:val="both"/>
              <w:rPr>
                <w:sz w:val="20"/>
                <w:szCs w:val="20"/>
              </w:rPr>
            </w:pPr>
            <w:r>
              <w:t xml:space="preserve">Ce prix rémunère dans les conditions prévues au contrat </w:t>
            </w:r>
          </w:p>
          <w:p>
            <w:pPr>
              <w:pStyle w:val="3"/>
              <w:rPr>
                <w:b/>
                <w:sz w:val="20"/>
                <w:szCs w:val="20"/>
              </w:rPr>
            </w:pPr>
            <w:r>
              <w:rPr>
                <w:b/>
              </w:rPr>
              <w:t>L’ensemble à  F CFA</w:t>
            </w:r>
          </w:p>
        </w:tc>
        <w:tc>
          <w:tcPr>
            <w:tcW w:w="700" w:type="dxa"/>
            <w:shd w:val="clear" w:color="auto" w:fill="FFFFFF"/>
            <w:vAlign w:val="bottom"/>
          </w:tcPr>
          <w:p>
            <w:pPr>
              <w:pStyle w:val="3"/>
              <w:jc w:val="center"/>
              <w:rPr>
                <w:b/>
                <w:sz w:val="20"/>
                <w:szCs w:val="20"/>
              </w:rPr>
            </w:pPr>
            <w:r>
              <w:rPr>
                <w:b/>
              </w:rPr>
              <w:t xml:space="preserve">Ens </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12.2.1</w:t>
            </w:r>
          </w:p>
        </w:tc>
        <w:tc>
          <w:tcPr>
            <w:tcW w:w="6724" w:type="dxa"/>
            <w:shd w:val="clear" w:color="auto" w:fill="auto"/>
            <w:vAlign w:val="bottom"/>
          </w:tcPr>
          <w:p>
            <w:pPr>
              <w:pStyle w:val="3"/>
              <w:jc w:val="both"/>
              <w:rPr>
                <w:b/>
                <w:i/>
                <w:sz w:val="20"/>
                <w:szCs w:val="20"/>
              </w:rPr>
            </w:pPr>
            <w:r>
              <w:rPr>
                <w:b/>
                <w:i/>
              </w:rPr>
              <w:t>Coffrets et tableaux:</w:t>
            </w:r>
          </w:p>
          <w:p>
            <w:pPr>
              <w:pStyle w:val="3"/>
              <w:jc w:val="both"/>
              <w:rPr>
                <w:sz w:val="20"/>
                <w:szCs w:val="20"/>
              </w:rPr>
            </w:pPr>
            <w:r>
              <w:t xml:space="preserve">Ce prix rémunère dans les conditions prévues au contrat </w:t>
            </w:r>
          </w:p>
          <w:p>
            <w:pPr>
              <w:pStyle w:val="3"/>
              <w:jc w:val="both"/>
              <w:rPr>
                <w:b/>
                <w:sz w:val="20"/>
                <w:szCs w:val="20"/>
              </w:rPr>
            </w:pPr>
            <w:r>
              <w:rPr>
                <w:b/>
              </w:rPr>
              <w:t>Le forfait  à   F CFA</w:t>
            </w:r>
          </w:p>
        </w:tc>
        <w:tc>
          <w:tcPr>
            <w:tcW w:w="700" w:type="dxa"/>
            <w:shd w:val="clear" w:color="auto" w:fill="auto"/>
            <w:vAlign w:val="bottom"/>
          </w:tcPr>
          <w:p>
            <w:pPr>
              <w:pStyle w:val="3"/>
              <w:jc w:val="center"/>
              <w:rPr>
                <w:b/>
                <w:sz w:val="20"/>
                <w:szCs w:val="20"/>
              </w:rPr>
            </w:pPr>
            <w:r>
              <w:rPr>
                <w:b/>
              </w:rPr>
              <w:t>FF</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12.3.1</w:t>
            </w:r>
          </w:p>
        </w:tc>
        <w:tc>
          <w:tcPr>
            <w:tcW w:w="6724" w:type="dxa"/>
            <w:shd w:val="clear" w:color="auto" w:fill="auto"/>
            <w:vAlign w:val="bottom"/>
          </w:tcPr>
          <w:p>
            <w:pPr>
              <w:pStyle w:val="3"/>
              <w:jc w:val="both"/>
              <w:rPr>
                <w:b/>
                <w:i/>
                <w:sz w:val="20"/>
                <w:szCs w:val="20"/>
              </w:rPr>
            </w:pPr>
            <w:r>
              <w:rPr>
                <w:b/>
                <w:i/>
              </w:rPr>
              <w:t>Interrupteur simple allumage y compris foretage et câblage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auto"/>
            <w:vAlign w:val="bottom"/>
          </w:tcPr>
          <w:p>
            <w:pPr>
              <w:pStyle w:val="3"/>
              <w:jc w:val="center"/>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12.3.2</w:t>
            </w:r>
          </w:p>
        </w:tc>
        <w:tc>
          <w:tcPr>
            <w:tcW w:w="6724" w:type="dxa"/>
            <w:shd w:val="clear" w:color="auto" w:fill="auto"/>
            <w:vAlign w:val="bottom"/>
          </w:tcPr>
          <w:p>
            <w:pPr>
              <w:pStyle w:val="3"/>
              <w:jc w:val="both"/>
              <w:rPr>
                <w:b/>
                <w:i/>
                <w:sz w:val="20"/>
                <w:szCs w:val="20"/>
              </w:rPr>
            </w:pPr>
            <w:r>
              <w:rPr>
                <w:b/>
                <w:i/>
              </w:rPr>
              <w:t>Interrupteur va et viens  allumage y compris foretage et câblage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auto"/>
            <w:vAlign w:val="bottom"/>
          </w:tcPr>
          <w:p>
            <w:pPr>
              <w:pStyle w:val="3"/>
              <w:jc w:val="center"/>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12.3.3</w:t>
            </w:r>
          </w:p>
        </w:tc>
        <w:tc>
          <w:tcPr>
            <w:tcW w:w="6724" w:type="dxa"/>
            <w:shd w:val="clear" w:color="auto" w:fill="auto"/>
            <w:vAlign w:val="bottom"/>
          </w:tcPr>
          <w:p>
            <w:pPr>
              <w:pStyle w:val="3"/>
              <w:jc w:val="both"/>
              <w:rPr>
                <w:b/>
                <w:i/>
                <w:sz w:val="20"/>
                <w:szCs w:val="20"/>
              </w:rPr>
            </w:pPr>
            <w:r>
              <w:rPr>
                <w:b/>
                <w:i/>
              </w:rPr>
              <w:t>Prises de courant 2P+T 16A y compris foretage et câblage :</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auto"/>
            <w:vAlign w:val="bottom"/>
          </w:tcPr>
          <w:p>
            <w:pPr>
              <w:pStyle w:val="3"/>
              <w:jc w:val="center"/>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12.4.1</w:t>
            </w:r>
          </w:p>
        </w:tc>
        <w:tc>
          <w:tcPr>
            <w:tcW w:w="6724" w:type="dxa"/>
            <w:shd w:val="clear" w:color="auto" w:fill="auto"/>
            <w:vAlign w:val="bottom"/>
          </w:tcPr>
          <w:p>
            <w:pPr>
              <w:pStyle w:val="3"/>
              <w:jc w:val="both"/>
              <w:rPr>
                <w:b/>
                <w:i/>
                <w:sz w:val="20"/>
                <w:szCs w:val="20"/>
              </w:rPr>
            </w:pPr>
            <w:r>
              <w:rPr>
                <w:b/>
                <w:i/>
              </w:rPr>
              <w:t>Applique sanitaire 2P+T+inter LEGRAND y compris foretage et câblage :</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auto"/>
            <w:vAlign w:val="bottom"/>
          </w:tcPr>
          <w:p>
            <w:pPr>
              <w:pStyle w:val="3"/>
              <w:jc w:val="center"/>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12.4.2</w:t>
            </w:r>
          </w:p>
        </w:tc>
        <w:tc>
          <w:tcPr>
            <w:tcW w:w="6724" w:type="dxa"/>
            <w:shd w:val="clear" w:color="auto" w:fill="auto"/>
            <w:vAlign w:val="bottom"/>
          </w:tcPr>
          <w:p>
            <w:pPr>
              <w:pStyle w:val="3"/>
              <w:jc w:val="both"/>
              <w:rPr>
                <w:b/>
                <w:i/>
                <w:sz w:val="20"/>
                <w:szCs w:val="20"/>
              </w:rPr>
            </w:pPr>
            <w:r>
              <w:rPr>
                <w:b/>
                <w:i/>
              </w:rPr>
              <w:t>Réglettes  y compris foretage et câblage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p>
            <w:pPr>
              <w:pStyle w:val="3"/>
              <w:jc w:val="both"/>
              <w:rPr>
                <w:b/>
                <w:i/>
                <w:sz w:val="20"/>
                <w:szCs w:val="20"/>
              </w:rPr>
            </w:pPr>
          </w:p>
        </w:tc>
        <w:tc>
          <w:tcPr>
            <w:tcW w:w="700" w:type="dxa"/>
            <w:shd w:val="clear" w:color="auto" w:fill="auto"/>
            <w:vAlign w:val="bottom"/>
          </w:tcPr>
          <w:p>
            <w:pPr>
              <w:pStyle w:val="3"/>
              <w:jc w:val="center"/>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12.4.3</w:t>
            </w:r>
          </w:p>
        </w:tc>
        <w:tc>
          <w:tcPr>
            <w:tcW w:w="6724" w:type="dxa"/>
            <w:shd w:val="clear" w:color="auto" w:fill="auto"/>
            <w:vAlign w:val="bottom"/>
          </w:tcPr>
          <w:p>
            <w:pPr>
              <w:pStyle w:val="3"/>
              <w:jc w:val="both"/>
              <w:rPr>
                <w:b/>
                <w:i/>
                <w:sz w:val="20"/>
                <w:szCs w:val="20"/>
              </w:rPr>
            </w:pPr>
            <w:r>
              <w:rPr>
                <w:b/>
                <w:i/>
              </w:rPr>
              <w:t>Hublot rond étanché y compris foretage et câblage:</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auto"/>
            <w:vAlign w:val="bottom"/>
          </w:tcPr>
          <w:p>
            <w:pPr>
              <w:pStyle w:val="3"/>
              <w:jc w:val="center"/>
              <w:rPr>
                <w:b/>
                <w:sz w:val="20"/>
                <w:szCs w:val="20"/>
              </w:rPr>
            </w:pP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jc w:val="center"/>
              <w:rPr>
                <w:b/>
                <w:sz w:val="20"/>
                <w:szCs w:val="20"/>
              </w:rPr>
            </w:pPr>
            <w:r>
              <w:rPr>
                <w:b/>
              </w:rPr>
              <w:t>13</w:t>
            </w:r>
          </w:p>
        </w:tc>
        <w:tc>
          <w:tcPr>
            <w:tcW w:w="6724" w:type="dxa"/>
            <w:shd w:val="clear" w:color="auto" w:fill="FFFFFF"/>
            <w:vAlign w:val="center"/>
          </w:tcPr>
          <w:p>
            <w:pPr>
              <w:pStyle w:val="3"/>
              <w:rPr>
                <w:b/>
                <w:sz w:val="20"/>
                <w:szCs w:val="20"/>
              </w:rPr>
            </w:pPr>
            <w:r>
              <w:rPr>
                <w:b/>
              </w:rPr>
              <w:t xml:space="preserve">LOT 13:FLUIDES </w:t>
            </w:r>
          </w:p>
        </w:tc>
        <w:tc>
          <w:tcPr>
            <w:tcW w:w="700" w:type="dxa"/>
            <w:shd w:val="clear" w:color="auto" w:fill="FFFFFF"/>
            <w:vAlign w:val="center"/>
          </w:tcPr>
          <w:p>
            <w:pPr>
              <w:pStyle w:val="3"/>
              <w:jc w:val="center"/>
              <w:rPr>
                <w:sz w:val="20"/>
                <w:szCs w:val="20"/>
              </w:rPr>
            </w:pPr>
            <w:r>
              <w:t> </w:t>
            </w:r>
          </w:p>
        </w:tc>
        <w:tc>
          <w:tcPr>
            <w:tcW w:w="1338" w:type="dxa"/>
            <w:shd w:val="clear" w:color="auto" w:fill="FFFFFF"/>
            <w:vAlign w:val="center"/>
          </w:tcPr>
          <w:p>
            <w:pPr>
              <w:pStyle w:val="3"/>
              <w:jc w:val="center"/>
              <w:rPr>
                <w:sz w:val="20"/>
                <w:szCs w:val="20"/>
              </w:rPr>
            </w:pPr>
            <w:r>
              <w:t> </w:t>
            </w: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w:t>
            </w:r>
          </w:p>
        </w:tc>
        <w:tc>
          <w:tcPr>
            <w:tcW w:w="6724" w:type="dxa"/>
            <w:shd w:val="clear" w:color="auto" w:fill="FFFFFF"/>
            <w:vAlign w:val="bottom"/>
          </w:tcPr>
          <w:p>
            <w:pPr>
              <w:pStyle w:val="3"/>
              <w:jc w:val="center"/>
              <w:rPr>
                <w:b/>
                <w:i/>
                <w:sz w:val="20"/>
                <w:szCs w:val="20"/>
              </w:rPr>
            </w:pPr>
            <w:r>
              <w:rPr>
                <w:b/>
                <w:i/>
              </w:rPr>
              <w:t>PLOMBERIE SANITAIRE</w:t>
            </w:r>
          </w:p>
        </w:tc>
        <w:tc>
          <w:tcPr>
            <w:tcW w:w="700" w:type="dxa"/>
            <w:shd w:val="clear" w:color="auto" w:fill="FFFFFF"/>
            <w:vAlign w:val="bottom"/>
          </w:tcPr>
          <w:p>
            <w:pPr>
              <w:pStyle w:val="3"/>
              <w:rPr>
                <w:b/>
                <w:sz w:val="20"/>
                <w:szCs w:val="20"/>
              </w:rPr>
            </w:pPr>
          </w:p>
        </w:tc>
        <w:tc>
          <w:tcPr>
            <w:tcW w:w="1338" w:type="dxa"/>
            <w:shd w:val="clear" w:color="auto" w:fill="FFFFFF"/>
            <w:vAlign w:val="center"/>
          </w:tcPr>
          <w:p>
            <w:pPr>
              <w:pStyle w:val="3"/>
              <w:jc w:val="right"/>
              <w:rPr>
                <w:b/>
                <w:sz w:val="20"/>
                <w:szCs w:val="20"/>
              </w:rPr>
            </w:pPr>
          </w:p>
        </w:tc>
      </w:tr>
      <w:tr>
        <w:trPr>
          <w:cantSplit/>
          <w:trHeight w:val="300" w:hRule="atLeast"/>
          <w:tblHeader/>
        </w:trPr>
        <w:tc>
          <w:tcPr>
            <w:tcW w:w="860" w:type="dxa"/>
            <w:shd w:val="clear" w:color="auto" w:fill="FFFFFF"/>
            <w:vAlign w:val="center"/>
          </w:tcPr>
          <w:p>
            <w:pPr>
              <w:pStyle w:val="3"/>
              <w:rPr>
                <w:b/>
                <w:sz w:val="20"/>
                <w:szCs w:val="20"/>
              </w:rPr>
            </w:pPr>
            <w:r>
              <w:rPr>
                <w:b/>
              </w:rPr>
              <w:t> 13.1.2</w:t>
            </w:r>
          </w:p>
        </w:tc>
        <w:tc>
          <w:tcPr>
            <w:tcW w:w="6724" w:type="dxa"/>
            <w:shd w:val="clear" w:color="auto" w:fill="FFFFFF"/>
            <w:vAlign w:val="bottom"/>
          </w:tcPr>
          <w:p>
            <w:pPr>
              <w:pStyle w:val="3"/>
              <w:jc w:val="both"/>
              <w:rPr>
                <w:b/>
                <w:i/>
                <w:sz w:val="20"/>
                <w:szCs w:val="20"/>
              </w:rPr>
            </w:pPr>
            <w:r>
              <w:rPr>
                <w:b/>
                <w:i/>
              </w:rPr>
              <w:t>Réseau d’évacuation EU/EV</w:t>
            </w:r>
          </w:p>
          <w:p>
            <w:pPr>
              <w:pStyle w:val="3"/>
              <w:jc w:val="both"/>
              <w:rPr>
                <w:sz w:val="20"/>
                <w:szCs w:val="20"/>
              </w:rPr>
            </w:pPr>
            <w:r>
              <w:t>Ce prix rémunère dans les conditions prévues au contrat.</w:t>
            </w:r>
          </w:p>
          <w:p>
            <w:pPr>
              <w:pStyle w:val="3"/>
              <w:jc w:val="both"/>
              <w:rPr>
                <w:b/>
                <w:sz w:val="20"/>
                <w:szCs w:val="20"/>
              </w:rPr>
            </w:pPr>
            <w:r>
              <w:rPr>
                <w:b/>
              </w:rPr>
              <w:t>L’ensemble à                F CFA</w:t>
            </w:r>
          </w:p>
        </w:tc>
        <w:tc>
          <w:tcPr>
            <w:tcW w:w="700" w:type="dxa"/>
            <w:shd w:val="clear" w:color="auto" w:fill="FFFFFF"/>
            <w:vAlign w:val="bottom"/>
          </w:tcPr>
          <w:p>
            <w:pPr>
              <w:pStyle w:val="3"/>
              <w:rPr>
                <w:b/>
                <w:sz w:val="20"/>
                <w:szCs w:val="20"/>
              </w:rPr>
            </w:pPr>
            <w:r>
              <w:rPr>
                <w:b/>
              </w:rPr>
              <w:t>ENS</w:t>
            </w:r>
          </w:p>
        </w:tc>
        <w:tc>
          <w:tcPr>
            <w:tcW w:w="1338" w:type="dxa"/>
            <w:shd w:val="clear" w:color="auto" w:fill="FFFFFF"/>
            <w:vAlign w:val="center"/>
          </w:tcPr>
          <w:p>
            <w:pPr>
              <w:pStyle w:val="3"/>
              <w:jc w:val="right"/>
              <w:rPr>
                <w:b/>
                <w:sz w:val="20"/>
                <w:szCs w:val="20"/>
              </w:rPr>
            </w:pPr>
            <w:r>
              <w:rPr>
                <w:b/>
              </w:rPr>
              <w:t> </w:t>
            </w: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 13.1.3</w:t>
            </w:r>
          </w:p>
        </w:tc>
        <w:tc>
          <w:tcPr>
            <w:tcW w:w="6724" w:type="dxa"/>
            <w:shd w:val="clear" w:color="auto" w:fill="FFFFFF"/>
            <w:vAlign w:val="bottom"/>
          </w:tcPr>
          <w:p>
            <w:pPr>
              <w:pStyle w:val="3"/>
              <w:jc w:val="both"/>
              <w:rPr>
                <w:b/>
                <w:i/>
                <w:sz w:val="20"/>
                <w:szCs w:val="20"/>
              </w:rPr>
            </w:pPr>
            <w:r>
              <w:rPr>
                <w:b/>
                <w:i/>
              </w:rPr>
              <w:t>Réseau enterré:</w:t>
            </w:r>
          </w:p>
          <w:p>
            <w:pPr>
              <w:pStyle w:val="3"/>
              <w:jc w:val="both"/>
              <w:rPr>
                <w:sz w:val="20"/>
                <w:szCs w:val="20"/>
              </w:rPr>
            </w:pPr>
            <w:r>
              <w:t xml:space="preserve">Ce prix rémunère dans les conditions prévues au contrat </w:t>
            </w:r>
          </w:p>
          <w:p>
            <w:pPr>
              <w:pStyle w:val="3"/>
              <w:jc w:val="both"/>
              <w:rPr>
                <w:b/>
                <w:sz w:val="20"/>
                <w:szCs w:val="20"/>
              </w:rPr>
            </w:pPr>
            <w:r>
              <w:rPr>
                <w:b/>
              </w:rPr>
              <w:t>L’ensemble   à                  F CFA</w:t>
            </w:r>
          </w:p>
        </w:tc>
        <w:tc>
          <w:tcPr>
            <w:tcW w:w="700" w:type="dxa"/>
            <w:shd w:val="clear" w:color="auto" w:fill="FFFFFF"/>
            <w:vAlign w:val="bottom"/>
          </w:tcPr>
          <w:p>
            <w:pPr>
              <w:pStyle w:val="3"/>
              <w:jc w:val="center"/>
              <w:rPr>
                <w:b/>
                <w:sz w:val="20"/>
                <w:szCs w:val="20"/>
              </w:rPr>
            </w:pPr>
            <w:r>
              <w:rPr>
                <w:b/>
              </w:rPr>
              <w:t xml:space="preserve">ENS </w:t>
            </w:r>
          </w:p>
        </w:tc>
        <w:tc>
          <w:tcPr>
            <w:tcW w:w="1338" w:type="dxa"/>
            <w:shd w:val="clear" w:color="auto" w:fill="FFFFFF"/>
            <w:vAlign w:val="center"/>
          </w:tcPr>
          <w:p>
            <w:pPr>
              <w:pStyle w:val="3"/>
              <w:jc w:val="right"/>
              <w:rPr>
                <w:b/>
                <w:sz w:val="20"/>
                <w:szCs w:val="20"/>
              </w:rPr>
            </w:pPr>
            <w:r>
              <w:rPr>
                <w:b/>
              </w:rPr>
              <w:t> </w:t>
            </w: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13.1.5</w:t>
            </w:r>
          </w:p>
        </w:tc>
        <w:tc>
          <w:tcPr>
            <w:tcW w:w="6724" w:type="dxa"/>
            <w:shd w:val="clear" w:color="auto" w:fill="FFFFFF"/>
            <w:vAlign w:val="bottom"/>
          </w:tcPr>
          <w:p>
            <w:pPr>
              <w:pStyle w:val="3"/>
              <w:jc w:val="both"/>
              <w:rPr>
                <w:b/>
                <w:i/>
                <w:sz w:val="20"/>
                <w:szCs w:val="20"/>
              </w:rPr>
            </w:pPr>
            <w:r>
              <w:rPr>
                <w:b/>
                <w:i/>
              </w:rPr>
              <w:t>Lavabo blanc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FFFFFF"/>
            <w:vAlign w:val="bottom"/>
          </w:tcPr>
          <w:p>
            <w:pPr>
              <w:pStyle w:val="3"/>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13.1.6</w:t>
            </w:r>
          </w:p>
        </w:tc>
        <w:tc>
          <w:tcPr>
            <w:tcW w:w="6724" w:type="dxa"/>
            <w:shd w:val="clear" w:color="auto" w:fill="FFFFFF"/>
            <w:vAlign w:val="bottom"/>
          </w:tcPr>
          <w:p>
            <w:pPr>
              <w:pStyle w:val="3"/>
              <w:jc w:val="both"/>
              <w:rPr>
                <w:b/>
                <w:i/>
                <w:sz w:val="20"/>
                <w:szCs w:val="20"/>
              </w:rPr>
            </w:pPr>
            <w:r>
              <w:rPr>
                <w:b/>
                <w:i/>
              </w:rPr>
              <w:t>Cuvette en wc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FFFFFF"/>
            <w:vAlign w:val="bottom"/>
          </w:tcPr>
          <w:p>
            <w:pPr>
              <w:pStyle w:val="3"/>
              <w:jc w:val="center"/>
              <w:rPr>
                <w:b/>
                <w:sz w:val="20"/>
                <w:szCs w:val="20"/>
              </w:rPr>
            </w:pPr>
            <w:r>
              <w:rPr>
                <w:b/>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1165" w:hRule="atLeast"/>
          <w:tblHeader/>
        </w:trPr>
        <w:tc>
          <w:tcPr>
            <w:tcW w:w="860" w:type="dxa"/>
            <w:shd w:val="clear" w:color="auto" w:fill="FFFFFF"/>
            <w:vAlign w:val="center"/>
          </w:tcPr>
          <w:p>
            <w:pPr>
              <w:pStyle w:val="3"/>
              <w:rPr>
                <w:b/>
                <w:sz w:val="20"/>
                <w:szCs w:val="20"/>
              </w:rPr>
            </w:pPr>
            <w:r>
              <w:rPr>
                <w:b/>
              </w:rPr>
              <w:t>13.1.7</w:t>
            </w:r>
          </w:p>
        </w:tc>
        <w:tc>
          <w:tcPr>
            <w:tcW w:w="6724" w:type="dxa"/>
            <w:shd w:val="clear" w:color="auto" w:fill="FFFFFF"/>
            <w:vAlign w:val="bottom"/>
          </w:tcPr>
          <w:p>
            <w:pPr>
              <w:pStyle w:val="3"/>
              <w:jc w:val="both"/>
              <w:rPr>
                <w:b/>
                <w:i/>
                <w:sz w:val="20"/>
                <w:szCs w:val="20"/>
              </w:rPr>
            </w:pPr>
            <w:r>
              <w:rPr>
                <w:b/>
                <w:i/>
              </w:rPr>
              <w:t>Evier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FFFFFF"/>
            <w:vAlign w:val="bottom"/>
          </w:tcPr>
          <w:p>
            <w:pPr>
              <w:pStyle w:val="3"/>
              <w:jc w:val="center"/>
              <w:rPr>
                <w:b/>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13.1.8</w:t>
            </w:r>
          </w:p>
        </w:tc>
        <w:tc>
          <w:tcPr>
            <w:tcW w:w="6724" w:type="dxa"/>
            <w:shd w:val="clear" w:color="auto" w:fill="FFFFFF"/>
            <w:vAlign w:val="bottom"/>
          </w:tcPr>
          <w:p>
            <w:pPr>
              <w:pStyle w:val="3"/>
              <w:jc w:val="both"/>
              <w:rPr>
                <w:b/>
                <w:i/>
                <w:sz w:val="20"/>
                <w:szCs w:val="20"/>
              </w:rPr>
            </w:pPr>
            <w:r>
              <w:rPr>
                <w:b/>
                <w:i/>
              </w:rPr>
              <w:t>Porte serviettes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13.1.9</w:t>
            </w:r>
          </w:p>
        </w:tc>
        <w:tc>
          <w:tcPr>
            <w:tcW w:w="6724" w:type="dxa"/>
            <w:shd w:val="clear" w:color="auto" w:fill="FFFFFF"/>
            <w:vAlign w:val="bottom"/>
          </w:tcPr>
          <w:p>
            <w:pPr>
              <w:pStyle w:val="3"/>
              <w:jc w:val="both"/>
              <w:rPr>
                <w:b/>
                <w:i/>
                <w:sz w:val="20"/>
                <w:szCs w:val="20"/>
              </w:rPr>
            </w:pPr>
            <w:r>
              <w:rPr>
                <w:b/>
                <w:i/>
              </w:rPr>
              <w:t>Porte savons :</w:t>
            </w:r>
          </w:p>
          <w:p>
            <w:pPr>
              <w:pStyle w:val="3"/>
              <w:jc w:val="both"/>
              <w:rPr>
                <w:sz w:val="20"/>
                <w:szCs w:val="20"/>
              </w:rPr>
            </w:pPr>
            <w:r>
              <w:t xml:space="preserve">Ce prix rémunère dans les conditions prévues au contrat </w:t>
            </w:r>
          </w:p>
          <w:p>
            <w:pPr>
              <w:pStyle w:val="3"/>
              <w:jc w:val="both"/>
              <w:rPr>
                <w:b/>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13.1.10</w:t>
            </w:r>
          </w:p>
        </w:tc>
        <w:tc>
          <w:tcPr>
            <w:tcW w:w="6724" w:type="dxa"/>
            <w:shd w:val="clear" w:color="auto" w:fill="FFFFFF"/>
            <w:vAlign w:val="bottom"/>
          </w:tcPr>
          <w:p>
            <w:pPr>
              <w:pStyle w:val="3"/>
              <w:jc w:val="both"/>
              <w:rPr>
                <w:b/>
                <w:i/>
                <w:sz w:val="20"/>
                <w:szCs w:val="20"/>
              </w:rPr>
            </w:pPr>
            <w:r>
              <w:rPr>
                <w:b/>
                <w:i/>
              </w:rPr>
              <w:t>Miroir :</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13.1.11</w:t>
            </w:r>
          </w:p>
        </w:tc>
        <w:tc>
          <w:tcPr>
            <w:tcW w:w="6724" w:type="dxa"/>
            <w:shd w:val="clear" w:color="auto" w:fill="FFFFFF"/>
            <w:vAlign w:val="bottom"/>
          </w:tcPr>
          <w:p>
            <w:pPr>
              <w:pStyle w:val="3"/>
              <w:jc w:val="both"/>
              <w:rPr>
                <w:b/>
                <w:i/>
                <w:sz w:val="20"/>
                <w:szCs w:val="20"/>
              </w:rPr>
            </w:pPr>
            <w:r>
              <w:rPr>
                <w:b/>
                <w:i/>
              </w:rPr>
              <w:t>Porte savons blanc encastré :</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13.1.12</w:t>
            </w:r>
          </w:p>
        </w:tc>
        <w:tc>
          <w:tcPr>
            <w:tcW w:w="6724" w:type="dxa"/>
            <w:shd w:val="clear" w:color="auto" w:fill="FFFFFF"/>
            <w:vAlign w:val="bottom"/>
          </w:tcPr>
          <w:p>
            <w:pPr>
              <w:pStyle w:val="3"/>
              <w:jc w:val="both"/>
              <w:rPr>
                <w:b/>
                <w:i/>
                <w:sz w:val="20"/>
                <w:szCs w:val="20"/>
              </w:rPr>
            </w:pPr>
            <w:r>
              <w:rPr>
                <w:b/>
                <w:i/>
              </w:rPr>
              <w:t>Porte papier hygènique  :</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13.1.13</w:t>
            </w:r>
          </w:p>
        </w:tc>
        <w:tc>
          <w:tcPr>
            <w:tcW w:w="6724" w:type="dxa"/>
            <w:shd w:val="clear" w:color="auto" w:fill="FFFFFF"/>
            <w:vAlign w:val="bottom"/>
          </w:tcPr>
          <w:p>
            <w:pPr>
              <w:pStyle w:val="3"/>
              <w:jc w:val="both"/>
              <w:rPr>
                <w:b/>
                <w:i/>
                <w:sz w:val="20"/>
                <w:szCs w:val="20"/>
              </w:rPr>
            </w:pPr>
            <w:r>
              <w:rPr>
                <w:b/>
                <w:i/>
              </w:rPr>
              <w:t>Siphon de sol:</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13.1.14</w:t>
            </w:r>
          </w:p>
        </w:tc>
        <w:tc>
          <w:tcPr>
            <w:tcW w:w="6724" w:type="dxa"/>
            <w:shd w:val="clear" w:color="auto" w:fill="FFFFFF"/>
            <w:vAlign w:val="bottom"/>
          </w:tcPr>
          <w:p>
            <w:pPr>
              <w:pStyle w:val="3"/>
              <w:jc w:val="both"/>
              <w:rPr>
                <w:b/>
                <w:i/>
                <w:sz w:val="20"/>
                <w:szCs w:val="20"/>
              </w:rPr>
            </w:pPr>
            <w:r>
              <w:rPr>
                <w:b/>
                <w:i/>
              </w:rPr>
              <w:t>douche :</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13.1.15</w:t>
            </w:r>
          </w:p>
        </w:tc>
        <w:tc>
          <w:tcPr>
            <w:tcW w:w="6724" w:type="dxa"/>
            <w:shd w:val="clear" w:color="auto" w:fill="FFFFFF"/>
            <w:vAlign w:val="bottom"/>
          </w:tcPr>
          <w:p>
            <w:pPr>
              <w:pStyle w:val="3"/>
              <w:jc w:val="both"/>
              <w:rPr>
                <w:b/>
                <w:i/>
                <w:sz w:val="20"/>
                <w:szCs w:val="20"/>
              </w:rPr>
            </w:pPr>
            <w:r>
              <w:rPr>
                <w:b/>
                <w:i/>
              </w:rPr>
              <w:t>Robinet d’eau dans la cours:</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13.2.1</w:t>
            </w:r>
          </w:p>
        </w:tc>
        <w:tc>
          <w:tcPr>
            <w:tcW w:w="6724" w:type="dxa"/>
            <w:shd w:val="clear" w:color="auto" w:fill="FFFFFF"/>
            <w:vAlign w:val="bottom"/>
          </w:tcPr>
          <w:p>
            <w:pPr>
              <w:pStyle w:val="3"/>
              <w:jc w:val="both"/>
              <w:rPr>
                <w:b/>
                <w:i/>
                <w:sz w:val="20"/>
                <w:szCs w:val="20"/>
              </w:rPr>
            </w:pPr>
            <w:r>
              <w:rPr>
                <w:b/>
                <w:i/>
              </w:rPr>
              <w:t xml:space="preserve">  fosse septique pour 40 usagers y compris canalisation et regard de raccordement</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r>
        <w:tblPrEx>
          <w:tblLayout w:type="fixed"/>
        </w:tblPrEx>
        <w:trPr>
          <w:cantSplit/>
          <w:trHeight w:val="300" w:hRule="atLeast"/>
          <w:tblHeader/>
        </w:trPr>
        <w:tc>
          <w:tcPr>
            <w:tcW w:w="860" w:type="dxa"/>
            <w:shd w:val="clear" w:color="auto" w:fill="FFFFFF"/>
            <w:vAlign w:val="center"/>
          </w:tcPr>
          <w:p>
            <w:pPr>
              <w:pStyle w:val="3"/>
              <w:rPr>
                <w:b/>
                <w:sz w:val="20"/>
                <w:szCs w:val="20"/>
              </w:rPr>
            </w:pPr>
            <w:r>
              <w:rPr>
                <w:b/>
              </w:rPr>
              <w:t>13.2.2</w:t>
            </w:r>
          </w:p>
        </w:tc>
        <w:tc>
          <w:tcPr>
            <w:tcW w:w="6724" w:type="dxa"/>
            <w:shd w:val="clear" w:color="auto" w:fill="FFFFFF"/>
            <w:vAlign w:val="bottom"/>
          </w:tcPr>
          <w:p>
            <w:pPr>
              <w:pStyle w:val="3"/>
              <w:jc w:val="both"/>
              <w:rPr>
                <w:b/>
                <w:i/>
                <w:sz w:val="20"/>
                <w:szCs w:val="20"/>
              </w:rPr>
            </w:pPr>
            <w:r>
              <w:rPr>
                <w:b/>
                <w:i/>
              </w:rPr>
              <w:t>Puisard pour40 usagers y compris canalisation et regard de raccordement</w:t>
            </w:r>
          </w:p>
          <w:p>
            <w:pPr>
              <w:pStyle w:val="3"/>
              <w:jc w:val="both"/>
              <w:rPr>
                <w:sz w:val="20"/>
                <w:szCs w:val="20"/>
              </w:rPr>
            </w:pPr>
            <w:r>
              <w:t xml:space="preserve">Ce prix rémunère dans les conditions prévues au contrat </w:t>
            </w:r>
          </w:p>
          <w:p>
            <w:pPr>
              <w:pStyle w:val="3"/>
              <w:jc w:val="both"/>
              <w:rPr>
                <w:b/>
                <w:i/>
                <w:sz w:val="20"/>
                <w:szCs w:val="20"/>
              </w:rPr>
            </w:pPr>
            <w:r>
              <w:rPr>
                <w:b/>
              </w:rPr>
              <w:t>L’unité à   F CFA</w:t>
            </w:r>
          </w:p>
        </w:tc>
        <w:tc>
          <w:tcPr>
            <w:tcW w:w="700" w:type="dxa"/>
            <w:shd w:val="clear" w:color="auto" w:fill="FFFFFF"/>
            <w:vAlign w:val="bottom"/>
          </w:tcPr>
          <w:p>
            <w:pPr>
              <w:pStyle w:val="3"/>
              <w:jc w:val="center"/>
              <w:rPr>
                <w:b/>
                <w:i/>
                <w:sz w:val="20"/>
                <w:szCs w:val="20"/>
              </w:rPr>
            </w:pPr>
            <w:r>
              <w:rPr>
                <w:b/>
                <w:i/>
              </w:rPr>
              <w:t>U</w:t>
            </w:r>
          </w:p>
        </w:tc>
        <w:tc>
          <w:tcPr>
            <w:tcW w:w="1338" w:type="dxa"/>
            <w:shd w:val="clear" w:color="auto" w:fill="FFFFFF"/>
            <w:vAlign w:val="center"/>
          </w:tcPr>
          <w:p>
            <w:pPr>
              <w:pStyle w:val="3"/>
              <w:jc w:val="right"/>
              <w:rPr>
                <w:b/>
                <w:sz w:val="20"/>
                <w:szCs w:val="20"/>
              </w:rPr>
            </w:pPr>
          </w:p>
        </w:tc>
      </w:tr>
    </w:tbl>
    <w:p>
      <w:pPr>
        <w:pStyle w:val="3"/>
        <w:widowControl w:val="0"/>
        <w:spacing w:line="360" w:lineRule="auto"/>
        <w:jc w:val="both"/>
        <w:rPr>
          <w:b/>
          <w:i/>
          <w:smallCaps/>
        </w:rPr>
      </w:pPr>
    </w:p>
    <w:p>
      <w:pPr>
        <w:pStyle w:val="3"/>
        <w:widowControl w:val="0"/>
        <w:spacing w:line="360" w:lineRule="auto"/>
        <w:jc w:val="both"/>
        <w:rPr>
          <w:b/>
          <w:sz w:val="20"/>
          <w:szCs w:val="20"/>
        </w:rPr>
      </w:pPr>
    </w:p>
    <w:p>
      <w:pPr>
        <w:pStyle w:val="3"/>
        <w:widowControl w:val="0"/>
        <w:spacing w:line="360" w:lineRule="auto"/>
        <w:jc w:val="both"/>
        <w:rPr>
          <w:b/>
          <w:sz w:val="20"/>
          <w:szCs w:val="20"/>
        </w:rPr>
      </w:pPr>
    </w:p>
    <w:p>
      <w:pPr>
        <w:pStyle w:val="3"/>
        <w:widowControl w:val="0"/>
        <w:spacing w:line="360" w:lineRule="auto"/>
        <w:jc w:val="both"/>
        <w:rPr>
          <w:b/>
          <w:sz w:val="20"/>
          <w:szCs w:val="20"/>
        </w:rPr>
      </w:pPr>
    </w:p>
    <w:p>
      <w:pPr>
        <w:pStyle w:val="3"/>
        <w:widowControl w:val="0"/>
        <w:spacing w:line="360" w:lineRule="auto"/>
        <w:jc w:val="both"/>
        <w:rPr>
          <w:b/>
          <w:sz w:val="20"/>
          <w:szCs w:val="20"/>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240" w:after="240" w:line="360" w:lineRule="auto"/>
        <w:ind w:left="851"/>
        <w:jc w:val="center"/>
        <w:rPr>
          <w:b/>
          <w:smallCaps/>
          <w:sz w:val="36"/>
          <w:szCs w:val="36"/>
        </w:rPr>
      </w:pPr>
      <w:bookmarkStart w:id="185" w:name="_is565v" w:colFirst="0" w:colLast="0"/>
      <w:bookmarkEnd w:id="185"/>
      <w:r>
        <w:rPr>
          <w:b/>
          <w:smallCaps/>
          <w:sz w:val="36"/>
          <w:szCs w:val="36"/>
        </w:rPr>
        <w:t xml:space="preserve">PIECE N°7 </w:t>
      </w:r>
    </w:p>
    <w:p>
      <w:pPr>
        <w:pStyle w:val="3"/>
        <w:widowControl w:val="0"/>
        <w:ind w:left="851" w:firstLine="1"/>
        <w:jc w:val="center"/>
        <w:rPr>
          <w:b/>
          <w:smallCaps/>
          <w:color w:val="000000"/>
          <w:sz w:val="36"/>
          <w:szCs w:val="36"/>
        </w:rPr>
      </w:pPr>
      <w:r>
        <w:rPr>
          <w:b/>
          <w:smallCaps/>
          <w:color w:val="000000"/>
          <w:sz w:val="36"/>
          <w:szCs w:val="36"/>
        </w:rPr>
        <w:t>CADRE DU DÉTAIL QUANTITATIF ET ESTIMATIF</w:t>
      </w:r>
    </w:p>
    <w:p>
      <w:pPr>
        <w:pStyle w:val="3"/>
        <w:widowControl w:val="0"/>
        <w:spacing w:line="360" w:lineRule="auto"/>
        <w:ind w:left="1212" w:hanging="360"/>
        <w:jc w:val="center"/>
        <w:rPr>
          <w:color w:val="000000"/>
          <w:sz w:val="60"/>
          <w:szCs w:val="60"/>
        </w:rPr>
      </w:pPr>
    </w:p>
    <w:p>
      <w:pPr>
        <w:pStyle w:val="3"/>
        <w:widowControl w:val="0"/>
        <w:spacing w:line="360" w:lineRule="auto"/>
        <w:ind w:left="1212" w:hanging="360"/>
        <w:jc w:val="center"/>
        <w:rPr>
          <w:color w:val="000000"/>
          <w:sz w:val="60"/>
          <w:szCs w:val="60"/>
        </w:rPr>
      </w:pPr>
    </w:p>
    <w:p>
      <w:pPr>
        <w:pStyle w:val="3"/>
        <w:rPr>
          <w:sz w:val="60"/>
          <w:szCs w:val="60"/>
        </w:rPr>
      </w:pPr>
      <w:r>
        <w:br w:type="textWrapping"/>
      </w:r>
    </w:p>
    <w:p>
      <w:pPr>
        <w:pStyle w:val="3"/>
        <w:widowControl w:val="0"/>
        <w:jc w:val="both"/>
        <w:rPr>
          <w:b/>
          <w:i/>
          <w:smallCaps/>
        </w:rPr>
      </w:pPr>
    </w:p>
    <w:p>
      <w:pPr>
        <w:pStyle w:val="3"/>
        <w:spacing w:line="360" w:lineRule="auto"/>
        <w:rPr>
          <w:b/>
          <w:i/>
          <w:smallCaps/>
        </w:rPr>
      </w:pPr>
      <w:r>
        <w:br w:type="textWrapping"/>
      </w: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spacing w:line="360" w:lineRule="auto"/>
        <w:rPr>
          <w:b/>
          <w:i/>
          <w:smallCaps/>
        </w:rPr>
      </w:pPr>
    </w:p>
    <w:p>
      <w:pPr>
        <w:pStyle w:val="3"/>
        <w:widowControl w:val="0"/>
        <w:spacing w:line="360" w:lineRule="auto"/>
        <w:jc w:val="center"/>
        <w:rPr>
          <w:b/>
        </w:rPr>
      </w:pPr>
      <w:r>
        <w:rPr>
          <w:b/>
        </w:rPr>
        <w:t>CADRE DU DETAIL QUANTITATIF ET ESTIMATIF</w:t>
      </w:r>
    </w:p>
    <w:p>
      <w:pPr>
        <w:pStyle w:val="3"/>
        <w:widowControl w:val="0"/>
        <w:spacing w:line="360" w:lineRule="auto"/>
        <w:jc w:val="center"/>
        <w:rPr>
          <w:b/>
          <w:sz w:val="20"/>
          <w:szCs w:val="20"/>
        </w:rPr>
      </w:pPr>
    </w:p>
    <w:tbl>
      <w:tblPr>
        <w:tblStyle w:val="35"/>
        <w:tblW w:w="95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70" w:type="dxa"/>
          <w:bottom w:w="0" w:type="dxa"/>
          <w:right w:w="70" w:type="dxa"/>
        </w:tblCellMar>
      </w:tblPr>
      <w:tblGrid>
        <w:gridCol w:w="930"/>
        <w:gridCol w:w="4892"/>
        <w:gridCol w:w="767"/>
        <w:gridCol w:w="919"/>
        <w:gridCol w:w="922"/>
        <w:gridCol w:w="1073"/>
      </w:tblGrid>
      <w:tr>
        <w:tblPrEx>
          <w:tblLayout w:type="fixed"/>
        </w:tblPrEx>
        <w:trPr>
          <w:cantSplit/>
          <w:trHeight w:val="721" w:hRule="atLeast"/>
          <w:tblHeader/>
        </w:trPr>
        <w:tc>
          <w:tcPr>
            <w:tcW w:w="930" w:type="dxa"/>
            <w:shd w:val="clear" w:color="auto" w:fill="FFFFFF"/>
            <w:vAlign w:val="center"/>
          </w:tcPr>
          <w:p>
            <w:pPr>
              <w:pStyle w:val="3"/>
              <w:jc w:val="right"/>
              <w:rPr>
                <w:b/>
                <w:sz w:val="20"/>
                <w:szCs w:val="20"/>
              </w:rPr>
            </w:pPr>
            <w:r>
              <w:rPr>
                <w:b/>
              </w:rPr>
              <w:t>N°</w:t>
            </w:r>
          </w:p>
        </w:tc>
        <w:tc>
          <w:tcPr>
            <w:tcW w:w="4892" w:type="dxa"/>
            <w:shd w:val="clear" w:color="auto" w:fill="FFFFFF"/>
            <w:vAlign w:val="center"/>
          </w:tcPr>
          <w:p>
            <w:pPr>
              <w:pStyle w:val="3"/>
              <w:jc w:val="center"/>
              <w:rPr>
                <w:b/>
                <w:sz w:val="20"/>
                <w:szCs w:val="20"/>
              </w:rPr>
            </w:pPr>
            <w:r>
              <w:rPr>
                <w:b/>
              </w:rPr>
              <w:t>Désignation</w:t>
            </w:r>
          </w:p>
        </w:tc>
        <w:tc>
          <w:tcPr>
            <w:tcW w:w="767" w:type="dxa"/>
            <w:shd w:val="clear" w:color="auto" w:fill="FFFFFF"/>
            <w:vAlign w:val="center"/>
          </w:tcPr>
          <w:p>
            <w:pPr>
              <w:pStyle w:val="3"/>
              <w:jc w:val="center"/>
              <w:rPr>
                <w:b/>
                <w:sz w:val="20"/>
                <w:szCs w:val="20"/>
              </w:rPr>
            </w:pPr>
            <w:r>
              <w:rPr>
                <w:b/>
              </w:rPr>
              <w:t>Unité</w:t>
            </w:r>
          </w:p>
        </w:tc>
        <w:tc>
          <w:tcPr>
            <w:tcW w:w="919" w:type="dxa"/>
            <w:shd w:val="clear" w:color="auto" w:fill="FFFFFF"/>
            <w:vAlign w:val="center"/>
          </w:tcPr>
          <w:p>
            <w:pPr>
              <w:pStyle w:val="3"/>
              <w:rPr>
                <w:b/>
                <w:sz w:val="20"/>
                <w:szCs w:val="20"/>
              </w:rPr>
            </w:pPr>
            <w:r>
              <w:rPr>
                <w:b/>
              </w:rPr>
              <w:t>QTE</w:t>
            </w:r>
          </w:p>
        </w:tc>
        <w:tc>
          <w:tcPr>
            <w:tcW w:w="922" w:type="dxa"/>
            <w:shd w:val="clear" w:color="auto" w:fill="FFFFFF"/>
          </w:tcPr>
          <w:p>
            <w:pPr>
              <w:pStyle w:val="3"/>
              <w:jc w:val="center"/>
              <w:rPr>
                <w:b/>
                <w:sz w:val="20"/>
                <w:szCs w:val="20"/>
              </w:rPr>
            </w:pPr>
            <w:r>
              <w:rPr>
                <w:b/>
              </w:rPr>
              <w:t>P.U</w:t>
            </w:r>
          </w:p>
        </w:tc>
        <w:tc>
          <w:tcPr>
            <w:tcW w:w="1073" w:type="dxa"/>
            <w:shd w:val="clear" w:color="auto" w:fill="FFFFFF"/>
          </w:tcPr>
          <w:p>
            <w:pPr>
              <w:pStyle w:val="3"/>
              <w:jc w:val="center"/>
              <w:rPr>
                <w:b/>
                <w:sz w:val="20"/>
                <w:szCs w:val="20"/>
              </w:rPr>
            </w:pPr>
            <w:r>
              <w:rPr>
                <w:b/>
              </w:rPr>
              <w:t>P.T</w:t>
            </w:r>
          </w:p>
        </w:tc>
      </w:tr>
      <w:tr>
        <w:tblPrEx>
          <w:tblLayout w:type="fixed"/>
        </w:tblPrEx>
        <w:trPr>
          <w:cantSplit/>
          <w:trHeight w:val="300" w:hRule="atLeast"/>
          <w:tblHeader/>
        </w:trPr>
        <w:tc>
          <w:tcPr>
            <w:tcW w:w="930" w:type="dxa"/>
            <w:shd w:val="clear" w:color="auto" w:fill="ED7D31"/>
            <w:vAlign w:val="center"/>
          </w:tcPr>
          <w:p>
            <w:pPr>
              <w:pStyle w:val="3"/>
              <w:jc w:val="right"/>
              <w:rPr>
                <w:b/>
                <w:sz w:val="20"/>
                <w:szCs w:val="20"/>
              </w:rPr>
            </w:pPr>
            <w:r>
              <w:rPr>
                <w:b/>
              </w:rPr>
              <w:t>1</w:t>
            </w:r>
          </w:p>
        </w:tc>
        <w:tc>
          <w:tcPr>
            <w:tcW w:w="8573" w:type="dxa"/>
            <w:gridSpan w:val="5"/>
            <w:shd w:val="clear" w:color="auto" w:fill="ED7D31"/>
            <w:vAlign w:val="center"/>
          </w:tcPr>
          <w:p>
            <w:pPr>
              <w:pStyle w:val="3"/>
              <w:rPr>
                <w:b/>
                <w:sz w:val="20"/>
                <w:szCs w:val="20"/>
              </w:rPr>
            </w:pPr>
            <w:r>
              <w:rPr>
                <w:b/>
              </w:rPr>
              <w:t xml:space="preserve">Travaux préliminaires-terrassement </w:t>
            </w:r>
            <w:r>
              <w:t> </w:t>
            </w: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 1.1</w:t>
            </w:r>
          </w:p>
        </w:tc>
        <w:tc>
          <w:tcPr>
            <w:tcW w:w="4892" w:type="dxa"/>
            <w:shd w:val="clear" w:color="auto" w:fill="FFFFFF"/>
            <w:vAlign w:val="center"/>
          </w:tcPr>
          <w:p>
            <w:pPr>
              <w:pStyle w:val="3"/>
              <w:jc w:val="both"/>
              <w:rPr>
                <w:i/>
                <w:sz w:val="20"/>
                <w:szCs w:val="20"/>
              </w:rPr>
            </w:pPr>
            <w:r>
              <w:rPr>
                <w:b/>
                <w:i/>
              </w:rPr>
              <w:t>réalisation du chantier:</w:t>
            </w:r>
            <w:r>
              <w:rPr>
                <w:i/>
              </w:rPr>
              <w:t xml:space="preserve"> </w:t>
            </w:r>
          </w:p>
        </w:tc>
        <w:tc>
          <w:tcPr>
            <w:tcW w:w="767" w:type="dxa"/>
            <w:shd w:val="clear" w:color="auto" w:fill="FFFFFF"/>
            <w:vAlign w:val="center"/>
          </w:tcPr>
          <w:p>
            <w:pPr>
              <w:pStyle w:val="3"/>
              <w:jc w:val="center"/>
              <w:rPr>
                <w:sz w:val="20"/>
                <w:szCs w:val="20"/>
              </w:rPr>
            </w:pPr>
            <w:r>
              <w:rPr>
                <w:b/>
              </w:rPr>
              <w:t>FF</w:t>
            </w:r>
          </w:p>
        </w:tc>
        <w:tc>
          <w:tcPr>
            <w:tcW w:w="919" w:type="dxa"/>
            <w:shd w:val="clear" w:color="auto" w:fill="FFFFFF"/>
            <w:vAlign w:val="center"/>
          </w:tcPr>
          <w:p>
            <w:pPr>
              <w:pStyle w:val="3"/>
              <w:jc w:val="right"/>
              <w:rPr>
                <w:b/>
                <w:sz w:val="20"/>
                <w:szCs w:val="20"/>
              </w:rPr>
            </w:pPr>
            <w:r>
              <w:rPr>
                <w:b/>
              </w:rPr>
              <w:t>00 </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1.2</w:t>
            </w:r>
          </w:p>
        </w:tc>
        <w:tc>
          <w:tcPr>
            <w:tcW w:w="4892" w:type="dxa"/>
            <w:shd w:val="clear" w:color="auto" w:fill="FFFFFF"/>
            <w:vAlign w:val="center"/>
          </w:tcPr>
          <w:p>
            <w:pPr>
              <w:pStyle w:val="3"/>
              <w:jc w:val="both"/>
              <w:rPr>
                <w:b/>
                <w:i/>
                <w:sz w:val="20"/>
                <w:szCs w:val="20"/>
              </w:rPr>
            </w:pPr>
            <w:r>
              <w:rPr>
                <w:b/>
                <w:i/>
              </w:rPr>
              <w:t xml:space="preserve">Aménagement et assainissement de la plateforme </w:t>
            </w:r>
          </w:p>
        </w:tc>
        <w:tc>
          <w:tcPr>
            <w:tcW w:w="767" w:type="dxa"/>
            <w:shd w:val="clear" w:color="auto" w:fill="FFFFFF"/>
            <w:vAlign w:val="center"/>
          </w:tcPr>
          <w:p>
            <w:pPr>
              <w:pStyle w:val="3"/>
              <w:jc w:val="center"/>
              <w:rPr>
                <w:b/>
                <w:sz w:val="20"/>
                <w:szCs w:val="20"/>
              </w:rPr>
            </w:pPr>
            <w:r>
              <w:rPr>
                <w:b/>
              </w:rPr>
              <w:t>FF</w:t>
            </w:r>
          </w:p>
        </w:tc>
        <w:tc>
          <w:tcPr>
            <w:tcW w:w="919" w:type="dxa"/>
            <w:shd w:val="clear" w:color="auto" w:fill="FFFFFF"/>
            <w:vAlign w:val="center"/>
          </w:tcPr>
          <w:p>
            <w:pPr>
              <w:pStyle w:val="3"/>
              <w:jc w:val="right"/>
              <w:rPr>
                <w:b/>
                <w:sz w:val="20"/>
                <w:szCs w:val="20"/>
              </w:rPr>
            </w:pPr>
            <w:r>
              <w:rPr>
                <w:b/>
              </w:rPr>
              <w:t>1,00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1.5</w:t>
            </w:r>
          </w:p>
        </w:tc>
        <w:tc>
          <w:tcPr>
            <w:tcW w:w="4892" w:type="dxa"/>
            <w:shd w:val="clear" w:color="auto" w:fill="FFFFFF"/>
            <w:vAlign w:val="center"/>
          </w:tcPr>
          <w:p>
            <w:pPr>
              <w:pStyle w:val="3"/>
              <w:jc w:val="both"/>
              <w:rPr>
                <w:i/>
                <w:sz w:val="20"/>
                <w:szCs w:val="20"/>
              </w:rPr>
            </w:pPr>
            <w:r>
              <w:rPr>
                <w:b/>
                <w:i/>
              </w:rPr>
              <w:t>Remblais compacté :</w:t>
            </w:r>
          </w:p>
        </w:tc>
        <w:tc>
          <w:tcPr>
            <w:tcW w:w="767" w:type="dxa"/>
            <w:shd w:val="clear" w:color="auto" w:fill="FFFFFF"/>
            <w:vAlign w:val="center"/>
          </w:tcPr>
          <w:p>
            <w:pPr>
              <w:pStyle w:val="3"/>
              <w:jc w:val="center"/>
              <w:rPr>
                <w:b/>
                <w:sz w:val="20"/>
                <w:szCs w:val="20"/>
              </w:rPr>
            </w:pPr>
            <w:r>
              <w:rPr>
                <w:b/>
              </w:rPr>
              <w:t>M3</w:t>
            </w:r>
          </w:p>
        </w:tc>
        <w:tc>
          <w:tcPr>
            <w:tcW w:w="919" w:type="dxa"/>
            <w:shd w:val="clear" w:color="auto" w:fill="FFFFFF"/>
            <w:vAlign w:val="center"/>
          </w:tcPr>
          <w:p>
            <w:pPr>
              <w:pStyle w:val="3"/>
              <w:jc w:val="right"/>
              <w:rPr>
                <w:b/>
                <w:sz w:val="20"/>
                <w:szCs w:val="20"/>
              </w:rPr>
            </w:pPr>
            <w:r>
              <w:rPr>
                <w:b/>
              </w:rPr>
              <w:t>6,00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1.6</w:t>
            </w:r>
          </w:p>
        </w:tc>
        <w:tc>
          <w:tcPr>
            <w:tcW w:w="4892" w:type="dxa"/>
            <w:shd w:val="clear" w:color="auto" w:fill="FFFFFF"/>
            <w:vAlign w:val="center"/>
          </w:tcPr>
          <w:p>
            <w:pPr>
              <w:pStyle w:val="3"/>
              <w:jc w:val="both"/>
              <w:rPr>
                <w:i/>
                <w:sz w:val="20"/>
                <w:szCs w:val="20"/>
              </w:rPr>
            </w:pPr>
            <w:r>
              <w:rPr>
                <w:b/>
                <w:i/>
              </w:rPr>
              <w:t>Couche de sable sous dallage :</w:t>
            </w:r>
          </w:p>
        </w:tc>
        <w:tc>
          <w:tcPr>
            <w:tcW w:w="767" w:type="dxa"/>
            <w:shd w:val="clear" w:color="auto" w:fill="FFFFFF"/>
            <w:vAlign w:val="center"/>
          </w:tcPr>
          <w:p>
            <w:pPr>
              <w:pStyle w:val="3"/>
              <w:jc w:val="center"/>
              <w:rPr>
                <w:b/>
                <w:sz w:val="20"/>
                <w:szCs w:val="20"/>
              </w:rPr>
            </w:pPr>
            <w:r>
              <w:rPr>
                <w:b/>
              </w:rPr>
              <w:t>M2</w:t>
            </w:r>
          </w:p>
        </w:tc>
        <w:tc>
          <w:tcPr>
            <w:tcW w:w="919" w:type="dxa"/>
            <w:shd w:val="clear" w:color="auto" w:fill="FFFFFF"/>
            <w:vAlign w:val="center"/>
          </w:tcPr>
          <w:p>
            <w:pPr>
              <w:pStyle w:val="3"/>
              <w:jc w:val="right"/>
              <w:rPr>
                <w:b/>
                <w:sz w:val="20"/>
                <w:szCs w:val="20"/>
              </w:rPr>
            </w:pPr>
            <w:r>
              <w:rPr>
                <w:b/>
              </w:rPr>
              <w:t>250,00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1.7</w:t>
            </w:r>
          </w:p>
        </w:tc>
        <w:tc>
          <w:tcPr>
            <w:tcW w:w="4892" w:type="dxa"/>
            <w:shd w:val="clear" w:color="auto" w:fill="FFFFFF"/>
            <w:vAlign w:val="center"/>
          </w:tcPr>
          <w:p>
            <w:pPr>
              <w:pStyle w:val="3"/>
              <w:jc w:val="both"/>
              <w:rPr>
                <w:i/>
                <w:sz w:val="20"/>
                <w:szCs w:val="20"/>
              </w:rPr>
            </w:pPr>
            <w:r>
              <w:rPr>
                <w:b/>
                <w:i/>
              </w:rPr>
              <w:t>Film polyane </w:t>
            </w:r>
          </w:p>
        </w:tc>
        <w:tc>
          <w:tcPr>
            <w:tcW w:w="767" w:type="dxa"/>
            <w:shd w:val="clear" w:color="auto" w:fill="FFFFFF"/>
            <w:vAlign w:val="center"/>
          </w:tcPr>
          <w:p>
            <w:pPr>
              <w:pStyle w:val="3"/>
              <w:jc w:val="center"/>
              <w:rPr>
                <w:b/>
                <w:sz w:val="20"/>
                <w:szCs w:val="20"/>
              </w:rPr>
            </w:pPr>
            <w:r>
              <w:rPr>
                <w:b/>
              </w:rPr>
              <w:t>M2</w:t>
            </w:r>
          </w:p>
        </w:tc>
        <w:tc>
          <w:tcPr>
            <w:tcW w:w="919" w:type="dxa"/>
            <w:shd w:val="clear" w:color="auto" w:fill="FFFFFF"/>
            <w:vAlign w:val="center"/>
          </w:tcPr>
          <w:p>
            <w:pPr>
              <w:pStyle w:val="3"/>
              <w:jc w:val="right"/>
              <w:rPr>
                <w:b/>
                <w:sz w:val="20"/>
                <w:szCs w:val="20"/>
              </w:rPr>
            </w:pPr>
            <w:r>
              <w:rPr>
                <w:b/>
              </w:rPr>
              <w:t>250,00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1</w:t>
            </w:r>
          </w:p>
        </w:tc>
        <w:tc>
          <w:tcPr>
            <w:tcW w:w="1073" w:type="dxa"/>
            <w:shd w:val="clear" w:color="auto" w:fill="ED7D31"/>
          </w:tcPr>
          <w:p>
            <w:pPr>
              <w:pStyle w:val="3"/>
              <w:jc w:val="right"/>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rPr>
                <w:sz w:val="20"/>
                <w:szCs w:val="20"/>
              </w:rPr>
            </w:pPr>
            <w:r>
              <w:t>3</w:t>
            </w:r>
          </w:p>
        </w:tc>
        <w:tc>
          <w:tcPr>
            <w:tcW w:w="8573" w:type="dxa"/>
            <w:gridSpan w:val="5"/>
            <w:shd w:val="clear" w:color="auto" w:fill="ED7D31"/>
            <w:vAlign w:val="center"/>
          </w:tcPr>
          <w:p>
            <w:pPr>
              <w:pStyle w:val="3"/>
              <w:jc w:val="center"/>
              <w:rPr>
                <w:b/>
                <w:sz w:val="20"/>
                <w:szCs w:val="20"/>
              </w:rPr>
            </w:pPr>
            <w:r>
              <w:rPr>
                <w:b/>
              </w:rPr>
              <w:t>FONDATION</w:t>
            </w: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3.1</w:t>
            </w:r>
          </w:p>
        </w:tc>
        <w:tc>
          <w:tcPr>
            <w:tcW w:w="4892" w:type="dxa"/>
            <w:shd w:val="clear" w:color="auto" w:fill="FFFFFF"/>
            <w:vAlign w:val="center"/>
          </w:tcPr>
          <w:p>
            <w:pPr>
              <w:pStyle w:val="3"/>
              <w:jc w:val="both"/>
              <w:rPr>
                <w:i/>
                <w:sz w:val="20"/>
                <w:szCs w:val="20"/>
              </w:rPr>
            </w:pPr>
            <w:r>
              <w:rPr>
                <w:b/>
                <w:i/>
              </w:rPr>
              <w:t>Dallage du sol dosé à 300kg/m3 :</w:t>
            </w:r>
          </w:p>
        </w:tc>
        <w:tc>
          <w:tcPr>
            <w:tcW w:w="767" w:type="dxa"/>
            <w:shd w:val="clear" w:color="auto" w:fill="FFFFFF"/>
            <w:vAlign w:val="center"/>
          </w:tcPr>
          <w:p>
            <w:pPr>
              <w:pStyle w:val="3"/>
              <w:jc w:val="center"/>
              <w:rPr>
                <w:b/>
                <w:sz w:val="20"/>
                <w:szCs w:val="20"/>
              </w:rPr>
            </w:pPr>
            <w:r>
              <w:rPr>
                <w:b/>
              </w:rPr>
              <w:t>M2</w:t>
            </w:r>
          </w:p>
        </w:tc>
        <w:tc>
          <w:tcPr>
            <w:tcW w:w="919" w:type="dxa"/>
            <w:shd w:val="clear" w:color="auto" w:fill="FFFFFF"/>
            <w:vAlign w:val="center"/>
          </w:tcPr>
          <w:p>
            <w:pPr>
              <w:pStyle w:val="3"/>
              <w:jc w:val="right"/>
              <w:rPr>
                <w:b/>
                <w:sz w:val="20"/>
                <w:szCs w:val="20"/>
              </w:rPr>
            </w:pPr>
            <w:r>
              <w:rPr>
                <w:b/>
              </w:rPr>
              <w:t>26,00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3</w:t>
            </w:r>
          </w:p>
        </w:tc>
        <w:tc>
          <w:tcPr>
            <w:tcW w:w="1073" w:type="dxa"/>
            <w:shd w:val="clear" w:color="auto" w:fill="ED7D31"/>
          </w:tcPr>
          <w:p>
            <w:pPr>
              <w:pStyle w:val="3"/>
              <w:jc w:val="center"/>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rPr>
                <w:sz w:val="20"/>
                <w:szCs w:val="20"/>
              </w:rPr>
            </w:pPr>
            <w:r>
              <w:t>4</w:t>
            </w:r>
          </w:p>
        </w:tc>
        <w:tc>
          <w:tcPr>
            <w:tcW w:w="8573" w:type="dxa"/>
            <w:gridSpan w:val="5"/>
            <w:shd w:val="clear" w:color="auto" w:fill="ED7D31"/>
            <w:vAlign w:val="center"/>
          </w:tcPr>
          <w:p>
            <w:pPr>
              <w:pStyle w:val="3"/>
              <w:jc w:val="center"/>
              <w:rPr>
                <w:b/>
                <w:i/>
                <w:sz w:val="20"/>
                <w:szCs w:val="20"/>
              </w:rPr>
            </w:pPr>
            <w:r>
              <w:rPr>
                <w:b/>
                <w:i/>
              </w:rPr>
              <w:t>MAÇONNERIE</w:t>
            </w: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4.2</w:t>
            </w:r>
          </w:p>
        </w:tc>
        <w:tc>
          <w:tcPr>
            <w:tcW w:w="4892" w:type="dxa"/>
            <w:shd w:val="clear" w:color="auto" w:fill="FFFFFF"/>
            <w:vAlign w:val="center"/>
          </w:tcPr>
          <w:p>
            <w:pPr>
              <w:pStyle w:val="3"/>
              <w:jc w:val="both"/>
              <w:rPr>
                <w:b/>
                <w:i/>
                <w:sz w:val="20"/>
                <w:szCs w:val="20"/>
              </w:rPr>
            </w:pPr>
            <w:r>
              <w:rPr>
                <w:b/>
                <w:i/>
              </w:rPr>
              <w:t xml:space="preserve">Démolition  </w:t>
            </w:r>
          </w:p>
        </w:tc>
        <w:tc>
          <w:tcPr>
            <w:tcW w:w="767" w:type="dxa"/>
            <w:shd w:val="clear" w:color="auto" w:fill="FFFFFF"/>
            <w:vAlign w:val="center"/>
          </w:tcPr>
          <w:p>
            <w:pPr>
              <w:pStyle w:val="3"/>
              <w:jc w:val="center"/>
              <w:rPr>
                <w:sz w:val="20"/>
                <w:szCs w:val="20"/>
              </w:rPr>
            </w:pPr>
            <w:r>
              <w:t>FF</w:t>
            </w:r>
          </w:p>
        </w:tc>
        <w:tc>
          <w:tcPr>
            <w:tcW w:w="919" w:type="dxa"/>
            <w:shd w:val="clear" w:color="auto" w:fill="FFFFFF"/>
            <w:vAlign w:val="center"/>
          </w:tcPr>
          <w:p>
            <w:pPr>
              <w:pStyle w:val="3"/>
              <w:jc w:val="center"/>
              <w:rPr>
                <w:b/>
                <w:sz w:val="20"/>
                <w:szCs w:val="20"/>
              </w:rPr>
            </w:pPr>
            <w:r>
              <w:rPr>
                <w:b/>
              </w:rPr>
              <w:t>1,00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4.3</w:t>
            </w:r>
          </w:p>
        </w:tc>
        <w:tc>
          <w:tcPr>
            <w:tcW w:w="4892" w:type="dxa"/>
            <w:shd w:val="clear" w:color="auto" w:fill="FFFFFF"/>
            <w:vAlign w:val="center"/>
          </w:tcPr>
          <w:p>
            <w:pPr>
              <w:pStyle w:val="3"/>
              <w:jc w:val="both"/>
              <w:rPr>
                <w:b/>
                <w:i/>
                <w:sz w:val="20"/>
                <w:szCs w:val="20"/>
              </w:rPr>
            </w:pPr>
            <w:r>
              <w:rPr>
                <w:b/>
                <w:i/>
              </w:rPr>
              <w:t xml:space="preserve">Claustras </w:t>
            </w:r>
          </w:p>
        </w:tc>
        <w:tc>
          <w:tcPr>
            <w:tcW w:w="767" w:type="dxa"/>
            <w:shd w:val="clear" w:color="auto" w:fill="FFFFFF"/>
            <w:vAlign w:val="center"/>
          </w:tcPr>
          <w:p>
            <w:pPr>
              <w:pStyle w:val="3"/>
              <w:jc w:val="center"/>
              <w:rPr>
                <w:sz w:val="20"/>
                <w:szCs w:val="20"/>
              </w:rPr>
            </w:pPr>
            <w:r>
              <w:t>M2</w:t>
            </w:r>
          </w:p>
        </w:tc>
        <w:tc>
          <w:tcPr>
            <w:tcW w:w="919" w:type="dxa"/>
            <w:shd w:val="clear" w:color="auto" w:fill="FFFFFF"/>
            <w:vAlign w:val="center"/>
          </w:tcPr>
          <w:p>
            <w:pPr>
              <w:pStyle w:val="3"/>
              <w:jc w:val="center"/>
              <w:rPr>
                <w:b/>
                <w:sz w:val="20"/>
                <w:szCs w:val="20"/>
              </w:rPr>
            </w:pPr>
            <w:r>
              <w:rPr>
                <w:b/>
              </w:rPr>
              <w:t>20,00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4</w:t>
            </w:r>
          </w:p>
        </w:tc>
        <w:tc>
          <w:tcPr>
            <w:tcW w:w="1073" w:type="dxa"/>
            <w:shd w:val="clear" w:color="auto" w:fill="ED7D31"/>
          </w:tcPr>
          <w:p>
            <w:pPr>
              <w:pStyle w:val="3"/>
              <w:jc w:val="center"/>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jc w:val="right"/>
              <w:rPr>
                <w:sz w:val="20"/>
                <w:szCs w:val="20"/>
              </w:rPr>
            </w:pPr>
            <w:r>
              <w:t>5</w:t>
            </w:r>
          </w:p>
        </w:tc>
        <w:tc>
          <w:tcPr>
            <w:tcW w:w="8573" w:type="dxa"/>
            <w:gridSpan w:val="5"/>
            <w:shd w:val="clear" w:color="auto" w:fill="ED7D31"/>
            <w:vAlign w:val="center"/>
          </w:tcPr>
          <w:p>
            <w:pPr>
              <w:pStyle w:val="3"/>
              <w:jc w:val="center"/>
              <w:rPr>
                <w:b/>
                <w:sz w:val="20"/>
                <w:szCs w:val="20"/>
              </w:rPr>
            </w:pPr>
            <w:r>
              <w:rPr>
                <w:b/>
              </w:rPr>
              <w:t xml:space="preserve">ENDUITS, CHAPES ET DIVERS </w:t>
            </w: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5.1</w:t>
            </w:r>
          </w:p>
        </w:tc>
        <w:tc>
          <w:tcPr>
            <w:tcW w:w="4892" w:type="dxa"/>
            <w:shd w:val="clear" w:color="auto" w:fill="FFFFFF"/>
            <w:vAlign w:val="center"/>
          </w:tcPr>
          <w:p>
            <w:pPr>
              <w:pStyle w:val="3"/>
              <w:jc w:val="both"/>
              <w:rPr>
                <w:i/>
                <w:sz w:val="20"/>
                <w:szCs w:val="20"/>
              </w:rPr>
            </w:pPr>
            <w:r>
              <w:rPr>
                <w:b/>
                <w:i/>
              </w:rPr>
              <w:t>Enduits sur mur extérieurs :</w:t>
            </w:r>
          </w:p>
        </w:tc>
        <w:tc>
          <w:tcPr>
            <w:tcW w:w="767" w:type="dxa"/>
            <w:shd w:val="clear" w:color="auto" w:fill="FFFFFF"/>
            <w:vAlign w:val="center"/>
          </w:tcPr>
          <w:p>
            <w:pPr>
              <w:pStyle w:val="3"/>
              <w:jc w:val="center"/>
              <w:rPr>
                <w:sz w:val="20"/>
                <w:szCs w:val="20"/>
              </w:rPr>
            </w:pPr>
            <w:r>
              <w:rPr>
                <w:b/>
              </w:rPr>
              <w:t>M2</w:t>
            </w:r>
          </w:p>
        </w:tc>
        <w:tc>
          <w:tcPr>
            <w:tcW w:w="919" w:type="dxa"/>
            <w:shd w:val="clear" w:color="auto" w:fill="FFFFFF"/>
            <w:vAlign w:val="center"/>
          </w:tcPr>
          <w:p>
            <w:pPr>
              <w:pStyle w:val="3"/>
              <w:jc w:val="center"/>
              <w:rPr>
                <w:b/>
                <w:sz w:val="20"/>
                <w:szCs w:val="20"/>
              </w:rPr>
            </w:pPr>
            <w:r>
              <w:rPr>
                <w:b/>
              </w:rPr>
              <w:t>342,00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5.2</w:t>
            </w:r>
          </w:p>
        </w:tc>
        <w:tc>
          <w:tcPr>
            <w:tcW w:w="4892" w:type="dxa"/>
            <w:shd w:val="clear" w:color="auto" w:fill="FFFFFF"/>
            <w:vAlign w:val="center"/>
          </w:tcPr>
          <w:p>
            <w:pPr>
              <w:pStyle w:val="3"/>
              <w:jc w:val="both"/>
              <w:rPr>
                <w:b/>
                <w:i/>
                <w:sz w:val="20"/>
                <w:szCs w:val="20"/>
              </w:rPr>
            </w:pPr>
            <w:r>
              <w:rPr>
                <w:b/>
                <w:i/>
              </w:rPr>
              <w:t>Enduits sur mur intérieurs :</w:t>
            </w:r>
          </w:p>
        </w:tc>
        <w:tc>
          <w:tcPr>
            <w:tcW w:w="767" w:type="dxa"/>
            <w:shd w:val="clear" w:color="auto" w:fill="FFFFFF"/>
            <w:vAlign w:val="center"/>
          </w:tcPr>
          <w:p>
            <w:pPr>
              <w:pStyle w:val="3"/>
              <w:jc w:val="center"/>
              <w:rPr>
                <w:sz w:val="20"/>
                <w:szCs w:val="20"/>
              </w:rPr>
            </w:pPr>
            <w:r>
              <w:rPr>
                <w:b/>
              </w:rPr>
              <w:t>M2</w:t>
            </w:r>
          </w:p>
        </w:tc>
        <w:tc>
          <w:tcPr>
            <w:tcW w:w="919" w:type="dxa"/>
            <w:shd w:val="clear" w:color="auto" w:fill="FFFFFF"/>
            <w:vAlign w:val="center"/>
          </w:tcPr>
          <w:p>
            <w:pPr>
              <w:pStyle w:val="3"/>
              <w:jc w:val="center"/>
              <w:rPr>
                <w:b/>
                <w:sz w:val="20"/>
                <w:szCs w:val="20"/>
              </w:rPr>
            </w:pPr>
            <w:r>
              <w:rPr>
                <w:b/>
              </w:rPr>
              <w:t>703,00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5.3</w:t>
            </w:r>
          </w:p>
        </w:tc>
        <w:tc>
          <w:tcPr>
            <w:tcW w:w="4892" w:type="dxa"/>
            <w:shd w:val="clear" w:color="auto" w:fill="FFFFFF"/>
            <w:vAlign w:val="center"/>
          </w:tcPr>
          <w:p>
            <w:pPr>
              <w:pStyle w:val="3"/>
              <w:jc w:val="both"/>
              <w:rPr>
                <w:i/>
                <w:sz w:val="20"/>
                <w:szCs w:val="20"/>
              </w:rPr>
            </w:pPr>
            <w:r>
              <w:rPr>
                <w:b/>
                <w:i/>
              </w:rPr>
              <w:t>Remplissage pour surélévation des placards de 10cm :</w:t>
            </w:r>
          </w:p>
        </w:tc>
        <w:tc>
          <w:tcPr>
            <w:tcW w:w="767" w:type="dxa"/>
            <w:shd w:val="clear" w:color="auto" w:fill="FFFFFF"/>
            <w:vAlign w:val="center"/>
          </w:tcPr>
          <w:p>
            <w:pPr>
              <w:pStyle w:val="3"/>
              <w:jc w:val="center"/>
              <w:rPr>
                <w:sz w:val="20"/>
                <w:szCs w:val="20"/>
              </w:rPr>
            </w:pPr>
            <w:r>
              <w:rPr>
                <w:b/>
              </w:rPr>
              <w:t>M2</w:t>
            </w:r>
          </w:p>
        </w:tc>
        <w:tc>
          <w:tcPr>
            <w:tcW w:w="919" w:type="dxa"/>
            <w:shd w:val="clear" w:color="auto" w:fill="FFFFFF"/>
            <w:vAlign w:val="center"/>
          </w:tcPr>
          <w:p>
            <w:pPr>
              <w:pStyle w:val="3"/>
              <w:jc w:val="center"/>
              <w:rPr>
                <w:b/>
                <w:sz w:val="20"/>
                <w:szCs w:val="20"/>
              </w:rPr>
            </w:pPr>
            <w:r>
              <w:rPr>
                <w:b/>
              </w:rPr>
              <w:t>8,00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5.4</w:t>
            </w:r>
          </w:p>
        </w:tc>
        <w:tc>
          <w:tcPr>
            <w:tcW w:w="4892" w:type="dxa"/>
            <w:shd w:val="clear" w:color="auto" w:fill="FFFFFF"/>
            <w:vAlign w:val="center"/>
          </w:tcPr>
          <w:p>
            <w:pPr>
              <w:pStyle w:val="3"/>
              <w:jc w:val="both"/>
              <w:rPr>
                <w:i/>
                <w:sz w:val="20"/>
                <w:szCs w:val="20"/>
              </w:rPr>
            </w:pPr>
            <w:r>
              <w:rPr>
                <w:b/>
                <w:i/>
              </w:rPr>
              <w:t>Chape de 3cm :</w:t>
            </w:r>
          </w:p>
        </w:tc>
        <w:tc>
          <w:tcPr>
            <w:tcW w:w="767" w:type="dxa"/>
            <w:shd w:val="clear" w:color="auto" w:fill="FFFFFF"/>
            <w:vAlign w:val="center"/>
          </w:tcPr>
          <w:p>
            <w:pPr>
              <w:pStyle w:val="3"/>
              <w:jc w:val="center"/>
              <w:rPr>
                <w:sz w:val="20"/>
                <w:szCs w:val="20"/>
              </w:rPr>
            </w:pPr>
            <w:r>
              <w:rPr>
                <w:b/>
              </w:rPr>
              <w:t>M2</w:t>
            </w:r>
          </w:p>
        </w:tc>
        <w:tc>
          <w:tcPr>
            <w:tcW w:w="919" w:type="dxa"/>
            <w:shd w:val="clear" w:color="auto" w:fill="FFFFFF"/>
            <w:vAlign w:val="center"/>
          </w:tcPr>
          <w:p>
            <w:pPr>
              <w:pStyle w:val="3"/>
              <w:jc w:val="center"/>
              <w:rPr>
                <w:b/>
                <w:sz w:val="20"/>
                <w:szCs w:val="20"/>
              </w:rPr>
            </w:pPr>
            <w:r>
              <w:rPr>
                <w:b/>
              </w:rPr>
              <w:t>237,00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5.5</w:t>
            </w:r>
          </w:p>
        </w:tc>
        <w:tc>
          <w:tcPr>
            <w:tcW w:w="4892" w:type="dxa"/>
            <w:shd w:val="clear" w:color="auto" w:fill="FFFFFF"/>
            <w:vAlign w:val="center"/>
          </w:tcPr>
          <w:p>
            <w:pPr>
              <w:pStyle w:val="3"/>
              <w:jc w:val="both"/>
              <w:rPr>
                <w:i/>
                <w:sz w:val="20"/>
                <w:szCs w:val="20"/>
              </w:rPr>
            </w:pPr>
            <w:r>
              <w:rPr>
                <w:b/>
                <w:i/>
              </w:rPr>
              <w:t>Paillasse en béton :</w:t>
            </w:r>
          </w:p>
        </w:tc>
        <w:tc>
          <w:tcPr>
            <w:tcW w:w="767" w:type="dxa"/>
            <w:shd w:val="clear" w:color="auto" w:fill="FFFFFF"/>
            <w:vAlign w:val="center"/>
          </w:tcPr>
          <w:p>
            <w:pPr>
              <w:pStyle w:val="3"/>
              <w:jc w:val="center"/>
              <w:rPr>
                <w:sz w:val="20"/>
                <w:szCs w:val="20"/>
              </w:rPr>
            </w:pPr>
            <w:r>
              <w:t>ml</w:t>
            </w:r>
          </w:p>
        </w:tc>
        <w:tc>
          <w:tcPr>
            <w:tcW w:w="919" w:type="dxa"/>
            <w:shd w:val="clear" w:color="auto" w:fill="FFFFFF"/>
            <w:vAlign w:val="center"/>
          </w:tcPr>
          <w:p>
            <w:pPr>
              <w:pStyle w:val="3"/>
              <w:jc w:val="center"/>
              <w:rPr>
                <w:b/>
                <w:sz w:val="20"/>
                <w:szCs w:val="20"/>
              </w:rPr>
            </w:pPr>
            <w:r>
              <w:rPr>
                <w:b/>
              </w:rPr>
              <w:t>6,00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5</w:t>
            </w:r>
          </w:p>
        </w:tc>
        <w:tc>
          <w:tcPr>
            <w:tcW w:w="1073" w:type="dxa"/>
            <w:shd w:val="clear" w:color="auto" w:fill="ED7D31"/>
          </w:tcPr>
          <w:p>
            <w:pPr>
              <w:pStyle w:val="3"/>
              <w:jc w:val="center"/>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jc w:val="right"/>
              <w:rPr>
                <w:sz w:val="20"/>
                <w:szCs w:val="20"/>
              </w:rPr>
            </w:pPr>
            <w:r>
              <w:t>7</w:t>
            </w:r>
          </w:p>
        </w:tc>
        <w:tc>
          <w:tcPr>
            <w:tcW w:w="8573" w:type="dxa"/>
            <w:gridSpan w:val="5"/>
            <w:shd w:val="clear" w:color="auto" w:fill="ED7D31"/>
            <w:vAlign w:val="center"/>
          </w:tcPr>
          <w:p>
            <w:pPr>
              <w:pStyle w:val="3"/>
              <w:jc w:val="center"/>
              <w:rPr>
                <w:b/>
                <w:sz w:val="20"/>
                <w:szCs w:val="20"/>
              </w:rPr>
            </w:pPr>
            <w:r>
              <w:rPr>
                <w:b/>
              </w:rPr>
              <w:t>REVETEMENT SCELLE</w:t>
            </w:r>
          </w:p>
        </w:tc>
      </w:tr>
      <w:tr>
        <w:trPr>
          <w:cantSplit/>
          <w:trHeight w:val="300" w:hRule="atLeast"/>
          <w:tblHeader/>
        </w:trPr>
        <w:tc>
          <w:tcPr>
            <w:tcW w:w="930" w:type="dxa"/>
            <w:shd w:val="clear" w:color="auto" w:fill="FFFFFF"/>
            <w:vAlign w:val="center"/>
          </w:tcPr>
          <w:p>
            <w:pPr>
              <w:pStyle w:val="3"/>
              <w:jc w:val="right"/>
              <w:rPr>
                <w:sz w:val="20"/>
                <w:szCs w:val="20"/>
              </w:rPr>
            </w:pPr>
            <w:r>
              <w:t>7.1</w:t>
            </w:r>
          </w:p>
        </w:tc>
        <w:tc>
          <w:tcPr>
            <w:tcW w:w="4892" w:type="dxa"/>
            <w:shd w:val="clear" w:color="auto" w:fill="FFFFFF"/>
            <w:vAlign w:val="center"/>
          </w:tcPr>
          <w:p>
            <w:pPr>
              <w:pStyle w:val="3"/>
              <w:jc w:val="both"/>
              <w:rPr>
                <w:i/>
                <w:sz w:val="20"/>
                <w:szCs w:val="20"/>
              </w:rPr>
            </w:pPr>
            <w:r>
              <w:rPr>
                <w:b/>
                <w:i/>
              </w:rPr>
              <w:t>Crées cérame antidérapant 1</w:t>
            </w:r>
            <w:r>
              <w:rPr>
                <w:b/>
                <w:i/>
                <w:vertAlign w:val="superscript"/>
              </w:rPr>
              <w:t>er</w:t>
            </w:r>
            <w:r>
              <w:rPr>
                <w:b/>
                <w:i/>
              </w:rPr>
              <w:t xml:space="preserve"> chot 5x5 :</w:t>
            </w:r>
          </w:p>
        </w:tc>
        <w:tc>
          <w:tcPr>
            <w:tcW w:w="767" w:type="dxa"/>
            <w:shd w:val="clear" w:color="auto" w:fill="FFFFFF"/>
            <w:vAlign w:val="center"/>
          </w:tcPr>
          <w:p>
            <w:pPr>
              <w:pStyle w:val="3"/>
              <w:jc w:val="center"/>
              <w:rPr>
                <w:sz w:val="20"/>
                <w:szCs w:val="20"/>
              </w:rPr>
            </w:pPr>
            <w:r>
              <w:rPr>
                <w:b/>
              </w:rPr>
              <w:t>M2</w:t>
            </w:r>
          </w:p>
        </w:tc>
        <w:tc>
          <w:tcPr>
            <w:tcW w:w="919" w:type="dxa"/>
            <w:shd w:val="clear" w:color="auto" w:fill="FFFFFF"/>
            <w:vAlign w:val="center"/>
          </w:tcPr>
          <w:p>
            <w:pPr>
              <w:pStyle w:val="3"/>
              <w:jc w:val="center"/>
              <w:rPr>
                <w:b/>
                <w:sz w:val="20"/>
                <w:szCs w:val="20"/>
              </w:rPr>
            </w:pPr>
            <w:r>
              <w:rPr>
                <w:b/>
              </w:rPr>
              <w:t>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7.2</w:t>
            </w:r>
          </w:p>
        </w:tc>
        <w:tc>
          <w:tcPr>
            <w:tcW w:w="4892" w:type="dxa"/>
            <w:shd w:val="clear" w:color="auto" w:fill="FFFFFF"/>
            <w:vAlign w:val="center"/>
          </w:tcPr>
          <w:p>
            <w:pPr>
              <w:pStyle w:val="3"/>
              <w:jc w:val="both"/>
              <w:rPr>
                <w:i/>
                <w:sz w:val="20"/>
                <w:szCs w:val="20"/>
              </w:rPr>
            </w:pPr>
            <w:r>
              <w:rPr>
                <w:b/>
                <w:i/>
              </w:rPr>
              <w:t>Faïence pour pièces humides :</w:t>
            </w:r>
          </w:p>
        </w:tc>
        <w:tc>
          <w:tcPr>
            <w:tcW w:w="767" w:type="dxa"/>
            <w:shd w:val="clear" w:color="auto" w:fill="FFFFFF"/>
            <w:vAlign w:val="center"/>
          </w:tcPr>
          <w:p>
            <w:pPr>
              <w:pStyle w:val="3"/>
              <w:jc w:val="center"/>
              <w:rPr>
                <w:sz w:val="20"/>
                <w:szCs w:val="20"/>
              </w:rPr>
            </w:pPr>
            <w:r>
              <w:rPr>
                <w:b/>
              </w:rPr>
              <w:t>M2</w:t>
            </w:r>
          </w:p>
        </w:tc>
        <w:tc>
          <w:tcPr>
            <w:tcW w:w="919" w:type="dxa"/>
            <w:shd w:val="clear" w:color="auto" w:fill="FFFFFF"/>
            <w:vAlign w:val="center"/>
          </w:tcPr>
          <w:p>
            <w:pPr>
              <w:pStyle w:val="3"/>
              <w:jc w:val="center"/>
              <w:rPr>
                <w:b/>
                <w:sz w:val="20"/>
                <w:szCs w:val="20"/>
              </w:rPr>
            </w:pPr>
            <w:r>
              <w:rPr>
                <w:b/>
              </w:rPr>
              <w:t>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jc w:val="right"/>
              <w:rPr>
                <w:sz w:val="20"/>
                <w:szCs w:val="20"/>
              </w:rPr>
            </w:pPr>
            <w:r>
              <w:t>7.3</w:t>
            </w:r>
          </w:p>
        </w:tc>
        <w:tc>
          <w:tcPr>
            <w:tcW w:w="4892" w:type="dxa"/>
            <w:shd w:val="clear" w:color="auto" w:fill="FFFFFF"/>
            <w:vAlign w:val="center"/>
          </w:tcPr>
          <w:p>
            <w:pPr>
              <w:pStyle w:val="3"/>
              <w:jc w:val="both"/>
              <w:rPr>
                <w:i/>
                <w:sz w:val="20"/>
                <w:szCs w:val="20"/>
              </w:rPr>
            </w:pPr>
            <w:r>
              <w:rPr>
                <w:b/>
                <w:i/>
              </w:rPr>
              <w:t>Plinthes en gré cérame de 15cm de hauteur :</w:t>
            </w:r>
          </w:p>
        </w:tc>
        <w:tc>
          <w:tcPr>
            <w:tcW w:w="767" w:type="dxa"/>
            <w:shd w:val="clear" w:color="auto" w:fill="FFFFFF"/>
            <w:vAlign w:val="center"/>
          </w:tcPr>
          <w:p>
            <w:pPr>
              <w:pStyle w:val="3"/>
              <w:jc w:val="center"/>
              <w:rPr>
                <w:sz w:val="20"/>
                <w:szCs w:val="20"/>
              </w:rPr>
            </w:pPr>
            <w:r>
              <w:t>ml</w:t>
            </w:r>
          </w:p>
        </w:tc>
        <w:tc>
          <w:tcPr>
            <w:tcW w:w="919" w:type="dxa"/>
            <w:shd w:val="clear" w:color="auto" w:fill="FFFFFF"/>
            <w:vAlign w:val="center"/>
          </w:tcPr>
          <w:p>
            <w:pPr>
              <w:pStyle w:val="3"/>
              <w:jc w:val="center"/>
              <w:rPr>
                <w:b/>
                <w:sz w:val="20"/>
                <w:szCs w:val="20"/>
              </w:rPr>
            </w:pPr>
            <w:r>
              <w:rPr>
                <w:b/>
              </w:rPr>
              <w:t>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7</w:t>
            </w:r>
          </w:p>
        </w:tc>
        <w:tc>
          <w:tcPr>
            <w:tcW w:w="1073" w:type="dxa"/>
            <w:shd w:val="clear" w:color="auto" w:fill="ED7D31"/>
          </w:tcPr>
          <w:p>
            <w:pPr>
              <w:pStyle w:val="3"/>
              <w:jc w:val="center"/>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jc w:val="right"/>
              <w:rPr>
                <w:sz w:val="20"/>
                <w:szCs w:val="20"/>
              </w:rPr>
            </w:pPr>
            <w:r>
              <w:t>8</w:t>
            </w:r>
          </w:p>
        </w:tc>
        <w:tc>
          <w:tcPr>
            <w:tcW w:w="8573" w:type="dxa"/>
            <w:gridSpan w:val="5"/>
            <w:shd w:val="clear" w:color="auto" w:fill="ED7D31"/>
            <w:vAlign w:val="center"/>
          </w:tcPr>
          <w:p>
            <w:pPr>
              <w:pStyle w:val="3"/>
              <w:jc w:val="center"/>
              <w:rPr>
                <w:b/>
                <w:sz w:val="20"/>
                <w:szCs w:val="20"/>
              </w:rPr>
            </w:pPr>
            <w:r>
              <w:rPr>
                <w:b/>
              </w:rPr>
              <w:t>CHARPENTE-COUVERTURE</w:t>
            </w:r>
            <w:r>
              <w:t> </w:t>
            </w:r>
          </w:p>
        </w:tc>
      </w:tr>
      <w:tr>
        <w:trPr>
          <w:cantSplit/>
          <w:trHeight w:val="300" w:hRule="atLeast"/>
          <w:tblHeader/>
        </w:trPr>
        <w:tc>
          <w:tcPr>
            <w:tcW w:w="930" w:type="dxa"/>
            <w:shd w:val="clear" w:color="auto" w:fill="FFFFFF"/>
            <w:vAlign w:val="center"/>
          </w:tcPr>
          <w:p>
            <w:pPr>
              <w:pStyle w:val="3"/>
              <w:rPr>
                <w:sz w:val="20"/>
                <w:szCs w:val="20"/>
              </w:rPr>
            </w:pPr>
            <w:r>
              <w:t>8.1</w:t>
            </w:r>
          </w:p>
        </w:tc>
        <w:tc>
          <w:tcPr>
            <w:tcW w:w="4892" w:type="dxa"/>
            <w:shd w:val="clear" w:color="auto" w:fill="FFFFFF"/>
            <w:vAlign w:val="center"/>
          </w:tcPr>
          <w:p>
            <w:pPr>
              <w:pStyle w:val="3"/>
              <w:rPr>
                <w:b/>
                <w:i/>
                <w:sz w:val="20"/>
                <w:szCs w:val="20"/>
              </w:rPr>
            </w:pPr>
            <w:r>
              <w:rPr>
                <w:b/>
                <w:i/>
              </w:rPr>
              <w:t xml:space="preserve">Bois de charpente dur traité au xylamon </w:t>
            </w:r>
          </w:p>
        </w:tc>
        <w:tc>
          <w:tcPr>
            <w:tcW w:w="767" w:type="dxa"/>
            <w:shd w:val="clear" w:color="auto" w:fill="FFFFFF"/>
            <w:vAlign w:val="center"/>
          </w:tcPr>
          <w:p>
            <w:pPr>
              <w:pStyle w:val="3"/>
              <w:jc w:val="center"/>
              <w:rPr>
                <w:sz w:val="20"/>
                <w:szCs w:val="20"/>
              </w:rPr>
            </w:pPr>
            <w:r>
              <w:rPr>
                <w:b/>
              </w:rPr>
              <w:t>M 3</w:t>
            </w:r>
          </w:p>
        </w:tc>
        <w:tc>
          <w:tcPr>
            <w:tcW w:w="919" w:type="dxa"/>
            <w:shd w:val="clear" w:color="auto" w:fill="FFFFFF"/>
            <w:vAlign w:val="center"/>
          </w:tcPr>
          <w:p>
            <w:pPr>
              <w:pStyle w:val="3"/>
              <w:jc w:val="center"/>
              <w:rPr>
                <w:b/>
                <w:sz w:val="20"/>
                <w:szCs w:val="20"/>
              </w:rPr>
            </w:pPr>
            <w:r>
              <w:rPr>
                <w:b/>
              </w:rPr>
              <w:t>7,00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rPr>
          <w:cantSplit/>
          <w:trHeight w:val="300" w:hRule="atLeast"/>
          <w:tblHeader/>
        </w:trPr>
        <w:tc>
          <w:tcPr>
            <w:tcW w:w="930" w:type="dxa"/>
            <w:shd w:val="clear" w:color="auto" w:fill="FFFFFF"/>
            <w:vAlign w:val="center"/>
          </w:tcPr>
          <w:p>
            <w:pPr>
              <w:pStyle w:val="3"/>
              <w:rPr>
                <w:sz w:val="20"/>
                <w:szCs w:val="20"/>
              </w:rPr>
            </w:pPr>
            <w:r>
              <w:t> 8.2</w:t>
            </w:r>
          </w:p>
        </w:tc>
        <w:tc>
          <w:tcPr>
            <w:tcW w:w="4892" w:type="dxa"/>
            <w:shd w:val="clear" w:color="auto" w:fill="FFFFFF"/>
            <w:vAlign w:val="center"/>
          </w:tcPr>
          <w:p>
            <w:pPr>
              <w:pStyle w:val="3"/>
              <w:rPr>
                <w:b/>
                <w:i/>
                <w:sz w:val="20"/>
                <w:szCs w:val="20"/>
              </w:rPr>
            </w:pPr>
            <w:r>
              <w:rPr>
                <w:b/>
                <w:i/>
              </w:rPr>
              <w:t>Planche de rive</w:t>
            </w:r>
            <w:r>
              <w:rPr>
                <w:b/>
              </w:rPr>
              <w:t xml:space="preserve"> </w:t>
            </w:r>
          </w:p>
        </w:tc>
        <w:tc>
          <w:tcPr>
            <w:tcW w:w="767" w:type="dxa"/>
            <w:shd w:val="clear" w:color="auto" w:fill="FFFFFF"/>
            <w:vAlign w:val="center"/>
          </w:tcPr>
          <w:p>
            <w:pPr>
              <w:pStyle w:val="3"/>
              <w:rPr>
                <w:b/>
                <w:sz w:val="20"/>
                <w:szCs w:val="20"/>
              </w:rPr>
            </w:pPr>
            <w:r>
              <w:rPr>
                <w:b/>
              </w:rPr>
              <w:t xml:space="preserve"> ml</w:t>
            </w:r>
          </w:p>
        </w:tc>
        <w:tc>
          <w:tcPr>
            <w:tcW w:w="919" w:type="dxa"/>
            <w:shd w:val="clear" w:color="auto" w:fill="FFFFFF"/>
            <w:vAlign w:val="center"/>
          </w:tcPr>
          <w:p>
            <w:pPr>
              <w:pStyle w:val="3"/>
              <w:jc w:val="center"/>
              <w:rPr>
                <w:b/>
                <w:sz w:val="20"/>
                <w:szCs w:val="20"/>
              </w:rPr>
            </w:pPr>
            <w:r>
              <w:rPr>
                <w:b/>
              </w:rPr>
              <w:t>118,00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 8.3</w:t>
            </w:r>
          </w:p>
        </w:tc>
        <w:tc>
          <w:tcPr>
            <w:tcW w:w="4892" w:type="dxa"/>
            <w:shd w:val="clear" w:color="auto" w:fill="FFFFFF"/>
            <w:vAlign w:val="center"/>
          </w:tcPr>
          <w:p>
            <w:pPr>
              <w:pStyle w:val="3"/>
              <w:rPr>
                <w:b/>
                <w:i/>
                <w:sz w:val="20"/>
                <w:szCs w:val="20"/>
              </w:rPr>
            </w:pPr>
            <w:r>
              <w:rPr>
                <w:b/>
                <w:i/>
              </w:rPr>
              <w:t xml:space="preserve"> Tôles de rive :</w:t>
            </w:r>
          </w:p>
        </w:tc>
        <w:tc>
          <w:tcPr>
            <w:tcW w:w="767" w:type="dxa"/>
            <w:shd w:val="clear" w:color="auto" w:fill="FFFFFF"/>
            <w:vAlign w:val="center"/>
          </w:tcPr>
          <w:p>
            <w:pPr>
              <w:pStyle w:val="3"/>
              <w:jc w:val="center"/>
              <w:rPr>
                <w:sz w:val="20"/>
                <w:szCs w:val="20"/>
              </w:rPr>
            </w:pPr>
            <w:r>
              <w:rPr>
                <w:b/>
              </w:rPr>
              <w:t>ml</w:t>
            </w:r>
          </w:p>
        </w:tc>
        <w:tc>
          <w:tcPr>
            <w:tcW w:w="919" w:type="dxa"/>
            <w:shd w:val="clear" w:color="auto" w:fill="FFFFFF"/>
            <w:vAlign w:val="center"/>
          </w:tcPr>
          <w:p>
            <w:pPr>
              <w:pStyle w:val="3"/>
              <w:jc w:val="center"/>
              <w:rPr>
                <w:b/>
                <w:sz w:val="20"/>
                <w:szCs w:val="20"/>
              </w:rPr>
            </w:pPr>
            <w:r>
              <w:rPr>
                <w:b/>
              </w:rPr>
              <w:t>118,00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85" w:hRule="atLeast"/>
          <w:tblHeader/>
        </w:trPr>
        <w:tc>
          <w:tcPr>
            <w:tcW w:w="930" w:type="dxa"/>
            <w:shd w:val="clear" w:color="auto" w:fill="FFFFFF"/>
            <w:vAlign w:val="center"/>
          </w:tcPr>
          <w:p>
            <w:pPr>
              <w:pStyle w:val="3"/>
              <w:rPr>
                <w:sz w:val="20"/>
                <w:szCs w:val="20"/>
              </w:rPr>
            </w:pPr>
            <w:r>
              <w:t>8.4</w:t>
            </w:r>
          </w:p>
        </w:tc>
        <w:tc>
          <w:tcPr>
            <w:tcW w:w="4892" w:type="dxa"/>
            <w:shd w:val="clear" w:color="auto" w:fill="FFFFFF"/>
            <w:vAlign w:val="center"/>
          </w:tcPr>
          <w:p>
            <w:pPr>
              <w:pStyle w:val="3"/>
              <w:jc w:val="both"/>
              <w:rPr>
                <w:b/>
                <w:i/>
                <w:sz w:val="20"/>
                <w:szCs w:val="20"/>
              </w:rPr>
            </w:pPr>
            <w:r>
              <w:rPr>
                <w:b/>
                <w:i/>
              </w:rPr>
              <w:t>Tôle noue </w:t>
            </w:r>
          </w:p>
        </w:tc>
        <w:tc>
          <w:tcPr>
            <w:tcW w:w="767" w:type="dxa"/>
            <w:shd w:val="clear" w:color="auto" w:fill="FFFFFF"/>
          </w:tcPr>
          <w:p>
            <w:pPr>
              <w:pStyle w:val="3"/>
              <w:rPr>
                <w:sz w:val="20"/>
                <w:szCs w:val="20"/>
              </w:rPr>
            </w:pPr>
            <w:r>
              <w:rPr>
                <w:b/>
              </w:rPr>
              <w:t>Ml</w:t>
            </w:r>
          </w:p>
        </w:tc>
        <w:tc>
          <w:tcPr>
            <w:tcW w:w="919" w:type="dxa"/>
            <w:shd w:val="clear" w:color="auto" w:fill="FFFFFF"/>
            <w:vAlign w:val="center"/>
          </w:tcPr>
          <w:p>
            <w:pPr>
              <w:pStyle w:val="3"/>
              <w:jc w:val="center"/>
              <w:rPr>
                <w:b/>
                <w:sz w:val="20"/>
                <w:szCs w:val="20"/>
              </w:rPr>
            </w:pPr>
            <w:r>
              <w:rPr>
                <w:b/>
              </w:rPr>
              <w:t>20,00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 8.5</w:t>
            </w:r>
          </w:p>
        </w:tc>
        <w:tc>
          <w:tcPr>
            <w:tcW w:w="4892" w:type="dxa"/>
            <w:shd w:val="clear" w:color="auto" w:fill="FFFFFF"/>
            <w:vAlign w:val="center"/>
          </w:tcPr>
          <w:p>
            <w:pPr>
              <w:pStyle w:val="3"/>
              <w:jc w:val="both"/>
              <w:rPr>
                <w:b/>
                <w:i/>
                <w:sz w:val="20"/>
                <w:szCs w:val="20"/>
              </w:rPr>
            </w:pPr>
            <w:r>
              <w:rPr>
                <w:b/>
                <w:i/>
              </w:rPr>
              <w:t xml:space="preserve">Tôle faitière </w:t>
            </w:r>
          </w:p>
        </w:tc>
        <w:tc>
          <w:tcPr>
            <w:tcW w:w="767" w:type="dxa"/>
            <w:shd w:val="clear" w:color="auto" w:fill="FFFFFF"/>
          </w:tcPr>
          <w:p>
            <w:pPr>
              <w:pStyle w:val="3"/>
              <w:rPr>
                <w:sz w:val="20"/>
                <w:szCs w:val="20"/>
              </w:rPr>
            </w:pPr>
            <w:r>
              <w:rPr>
                <w:b/>
              </w:rPr>
              <w:t>ml</w:t>
            </w:r>
          </w:p>
        </w:tc>
        <w:tc>
          <w:tcPr>
            <w:tcW w:w="919" w:type="dxa"/>
            <w:shd w:val="clear" w:color="auto" w:fill="FFFFFF"/>
            <w:vAlign w:val="center"/>
          </w:tcPr>
          <w:p>
            <w:pPr>
              <w:pStyle w:val="3"/>
              <w:jc w:val="center"/>
              <w:rPr>
                <w:b/>
                <w:sz w:val="20"/>
                <w:szCs w:val="20"/>
              </w:rPr>
            </w:pPr>
            <w:r>
              <w:rPr>
                <w:b/>
              </w:rPr>
              <w:t>85,00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 8.6</w:t>
            </w:r>
          </w:p>
        </w:tc>
        <w:tc>
          <w:tcPr>
            <w:tcW w:w="4892" w:type="dxa"/>
            <w:shd w:val="clear" w:color="auto" w:fill="FFFFFF"/>
            <w:vAlign w:val="center"/>
          </w:tcPr>
          <w:p>
            <w:pPr>
              <w:pStyle w:val="3"/>
              <w:jc w:val="both"/>
              <w:rPr>
                <w:b/>
                <w:i/>
                <w:sz w:val="20"/>
                <w:szCs w:val="20"/>
              </w:rPr>
            </w:pPr>
            <w:r>
              <w:rPr>
                <w:b/>
                <w:i/>
              </w:rPr>
              <w:t>Couverture bac alu nervure de 6/10é- teinte naturelle y compris faitière et tôle de rive:</w:t>
            </w:r>
          </w:p>
        </w:tc>
        <w:tc>
          <w:tcPr>
            <w:tcW w:w="767" w:type="dxa"/>
            <w:shd w:val="clear" w:color="auto" w:fill="FFFFFF"/>
            <w:vAlign w:val="center"/>
          </w:tcPr>
          <w:p>
            <w:pPr>
              <w:pStyle w:val="3"/>
              <w:jc w:val="center"/>
              <w:rPr>
                <w:sz w:val="20"/>
                <w:szCs w:val="20"/>
              </w:rPr>
            </w:pPr>
            <w:r>
              <w:rPr>
                <w:b/>
              </w:rPr>
              <w:t>m</w:t>
            </w:r>
            <w:r>
              <w:rPr>
                <w:b/>
                <w:vertAlign w:val="superscript"/>
              </w:rPr>
              <w:t>2</w:t>
            </w:r>
          </w:p>
        </w:tc>
        <w:tc>
          <w:tcPr>
            <w:tcW w:w="919" w:type="dxa"/>
            <w:shd w:val="clear" w:color="auto" w:fill="FFFFFF"/>
            <w:vAlign w:val="center"/>
          </w:tcPr>
          <w:p>
            <w:pPr>
              <w:pStyle w:val="3"/>
              <w:jc w:val="center"/>
              <w:rPr>
                <w:b/>
                <w:sz w:val="20"/>
                <w:szCs w:val="20"/>
              </w:rPr>
            </w:pPr>
            <w:r>
              <w:rPr>
                <w:b/>
              </w:rPr>
              <w:t>369,00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8.7</w:t>
            </w:r>
          </w:p>
        </w:tc>
        <w:tc>
          <w:tcPr>
            <w:tcW w:w="4892" w:type="dxa"/>
            <w:shd w:val="clear" w:color="auto" w:fill="FFFFFF"/>
            <w:vAlign w:val="center"/>
          </w:tcPr>
          <w:p>
            <w:pPr>
              <w:pStyle w:val="3"/>
              <w:jc w:val="both"/>
              <w:rPr>
                <w:b/>
                <w:i/>
                <w:sz w:val="20"/>
                <w:szCs w:val="20"/>
              </w:rPr>
            </w:pPr>
            <w:r>
              <w:rPr>
                <w:b/>
                <w:i/>
              </w:rPr>
              <w:t xml:space="preserve">Gouttière préfabriquée en acier  </w:t>
            </w:r>
          </w:p>
        </w:tc>
        <w:tc>
          <w:tcPr>
            <w:tcW w:w="767" w:type="dxa"/>
            <w:shd w:val="clear" w:color="auto" w:fill="FFFFFF"/>
            <w:vAlign w:val="center"/>
          </w:tcPr>
          <w:p>
            <w:pPr>
              <w:pStyle w:val="3"/>
              <w:jc w:val="center"/>
              <w:rPr>
                <w:b/>
                <w:sz w:val="20"/>
                <w:szCs w:val="20"/>
              </w:rPr>
            </w:pPr>
            <w:r>
              <w:rPr>
                <w:b/>
              </w:rPr>
              <w:t>ml</w:t>
            </w:r>
          </w:p>
        </w:tc>
        <w:tc>
          <w:tcPr>
            <w:tcW w:w="919" w:type="dxa"/>
            <w:shd w:val="clear" w:color="auto" w:fill="FFFFFF"/>
            <w:vAlign w:val="center"/>
          </w:tcPr>
          <w:p>
            <w:pPr>
              <w:pStyle w:val="3"/>
              <w:jc w:val="center"/>
              <w:rPr>
                <w:b/>
                <w:sz w:val="20"/>
                <w:szCs w:val="20"/>
              </w:rPr>
            </w:pPr>
            <w:r>
              <w:rPr>
                <w:b/>
              </w:rPr>
              <w:t>118,00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8.8</w:t>
            </w:r>
          </w:p>
        </w:tc>
        <w:tc>
          <w:tcPr>
            <w:tcW w:w="4892" w:type="dxa"/>
            <w:shd w:val="clear" w:color="auto" w:fill="FFFFFF"/>
            <w:vAlign w:val="center"/>
          </w:tcPr>
          <w:p>
            <w:pPr>
              <w:pStyle w:val="3"/>
              <w:jc w:val="both"/>
              <w:rPr>
                <w:b/>
                <w:i/>
                <w:sz w:val="20"/>
                <w:szCs w:val="20"/>
              </w:rPr>
            </w:pPr>
            <w:r>
              <w:rPr>
                <w:b/>
                <w:i/>
              </w:rPr>
              <w:t xml:space="preserve">Plafond en contreplaqué </w:t>
            </w:r>
          </w:p>
        </w:tc>
        <w:tc>
          <w:tcPr>
            <w:tcW w:w="767" w:type="dxa"/>
            <w:shd w:val="clear" w:color="auto" w:fill="FFFFFF"/>
            <w:vAlign w:val="center"/>
          </w:tcPr>
          <w:p>
            <w:pPr>
              <w:pStyle w:val="3"/>
              <w:jc w:val="center"/>
              <w:rPr>
                <w:b/>
                <w:sz w:val="20"/>
                <w:szCs w:val="20"/>
              </w:rPr>
            </w:pPr>
            <w:r>
              <w:rPr>
                <w:b/>
              </w:rPr>
              <w:t>m</w:t>
            </w:r>
            <w:r>
              <w:rPr>
                <w:b/>
                <w:vertAlign w:val="superscript"/>
              </w:rPr>
              <w:t>2</w:t>
            </w:r>
          </w:p>
        </w:tc>
        <w:tc>
          <w:tcPr>
            <w:tcW w:w="919" w:type="dxa"/>
            <w:shd w:val="clear" w:color="auto" w:fill="FFFFFF"/>
            <w:vAlign w:val="center"/>
          </w:tcPr>
          <w:p>
            <w:pPr>
              <w:pStyle w:val="3"/>
              <w:jc w:val="center"/>
              <w:rPr>
                <w:b/>
                <w:sz w:val="20"/>
                <w:szCs w:val="20"/>
              </w:rPr>
            </w:pPr>
            <w:r>
              <w:rPr>
                <w:b/>
              </w:rPr>
              <w:t>250,00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8.9</w:t>
            </w:r>
          </w:p>
        </w:tc>
        <w:tc>
          <w:tcPr>
            <w:tcW w:w="4892" w:type="dxa"/>
            <w:shd w:val="clear" w:color="auto" w:fill="FFFFFF"/>
            <w:vAlign w:val="center"/>
          </w:tcPr>
          <w:p>
            <w:pPr>
              <w:pStyle w:val="3"/>
              <w:jc w:val="both"/>
              <w:rPr>
                <w:b/>
                <w:i/>
                <w:sz w:val="20"/>
                <w:szCs w:val="20"/>
              </w:rPr>
            </w:pPr>
            <w:r>
              <w:rPr>
                <w:b/>
                <w:i/>
              </w:rPr>
              <w:t>Plafond en tôle lisse :</w:t>
            </w:r>
          </w:p>
        </w:tc>
        <w:tc>
          <w:tcPr>
            <w:tcW w:w="767" w:type="dxa"/>
            <w:shd w:val="clear" w:color="auto" w:fill="FFFFFF"/>
            <w:vAlign w:val="center"/>
          </w:tcPr>
          <w:p>
            <w:pPr>
              <w:pStyle w:val="3"/>
              <w:jc w:val="center"/>
              <w:rPr>
                <w:b/>
                <w:sz w:val="20"/>
                <w:szCs w:val="20"/>
              </w:rPr>
            </w:pPr>
            <w:r>
              <w:rPr>
                <w:b/>
              </w:rPr>
              <w:t>m</w:t>
            </w:r>
            <w:r>
              <w:rPr>
                <w:b/>
                <w:vertAlign w:val="superscript"/>
              </w:rPr>
              <w:t>2</w:t>
            </w:r>
          </w:p>
        </w:tc>
        <w:tc>
          <w:tcPr>
            <w:tcW w:w="919" w:type="dxa"/>
            <w:shd w:val="clear" w:color="auto" w:fill="FFFFFF"/>
            <w:vAlign w:val="center"/>
          </w:tcPr>
          <w:p>
            <w:pPr>
              <w:pStyle w:val="3"/>
              <w:jc w:val="center"/>
              <w:rPr>
                <w:b/>
                <w:sz w:val="20"/>
                <w:szCs w:val="20"/>
              </w:rPr>
            </w:pPr>
            <w:r>
              <w:rPr>
                <w:b/>
              </w:rPr>
              <w:t>94,40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8.10</w:t>
            </w:r>
          </w:p>
        </w:tc>
        <w:tc>
          <w:tcPr>
            <w:tcW w:w="4892" w:type="dxa"/>
            <w:shd w:val="clear" w:color="auto" w:fill="FFFFFF"/>
            <w:vAlign w:val="center"/>
          </w:tcPr>
          <w:p>
            <w:pPr>
              <w:pStyle w:val="3"/>
              <w:jc w:val="both"/>
              <w:rPr>
                <w:b/>
                <w:i/>
                <w:sz w:val="20"/>
                <w:szCs w:val="20"/>
              </w:rPr>
            </w:pPr>
            <w:r>
              <w:rPr>
                <w:b/>
                <w:i/>
              </w:rPr>
              <w:t>Descente d’eau en PVC</w:t>
            </w:r>
          </w:p>
        </w:tc>
        <w:tc>
          <w:tcPr>
            <w:tcW w:w="767" w:type="dxa"/>
            <w:shd w:val="clear" w:color="auto" w:fill="FFFFFF"/>
          </w:tcPr>
          <w:p>
            <w:pPr>
              <w:pStyle w:val="3"/>
              <w:rPr>
                <w:b/>
                <w:sz w:val="20"/>
                <w:szCs w:val="20"/>
              </w:rPr>
            </w:pPr>
            <w:r>
              <w:rPr>
                <w:b/>
              </w:rPr>
              <w:t>ml</w:t>
            </w:r>
          </w:p>
        </w:tc>
        <w:tc>
          <w:tcPr>
            <w:tcW w:w="919" w:type="dxa"/>
            <w:shd w:val="clear" w:color="auto" w:fill="FFFFFF"/>
            <w:vAlign w:val="center"/>
          </w:tcPr>
          <w:p>
            <w:pPr>
              <w:pStyle w:val="3"/>
              <w:jc w:val="center"/>
              <w:rPr>
                <w:b/>
                <w:sz w:val="20"/>
                <w:szCs w:val="20"/>
              </w:rPr>
            </w:pPr>
            <w:r>
              <w:rPr>
                <w:b/>
              </w:rPr>
              <w:t>40</w:t>
            </w:r>
          </w:p>
        </w:tc>
        <w:tc>
          <w:tcPr>
            <w:tcW w:w="922" w:type="dxa"/>
            <w:shd w:val="clear" w:color="auto" w:fill="FFFFFF"/>
          </w:tcPr>
          <w:p>
            <w:pPr>
              <w:pStyle w:val="3"/>
              <w:jc w:val="center"/>
              <w:rPr>
                <w:b/>
                <w:sz w:val="20"/>
                <w:szCs w:val="20"/>
              </w:rPr>
            </w:pPr>
          </w:p>
        </w:tc>
        <w:tc>
          <w:tcPr>
            <w:tcW w:w="1073" w:type="dxa"/>
            <w:shd w:val="clear" w:color="auto" w:fill="FFFFFF"/>
          </w:tcPr>
          <w:p>
            <w:pPr>
              <w:pStyle w:val="3"/>
              <w:jc w:val="center"/>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8</w:t>
            </w:r>
          </w:p>
        </w:tc>
        <w:tc>
          <w:tcPr>
            <w:tcW w:w="1073" w:type="dxa"/>
            <w:shd w:val="clear" w:color="auto" w:fill="ED7D31"/>
          </w:tcPr>
          <w:p>
            <w:pPr>
              <w:pStyle w:val="3"/>
              <w:jc w:val="center"/>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ind w:right="480"/>
              <w:rPr>
                <w:b/>
                <w:sz w:val="20"/>
                <w:szCs w:val="20"/>
              </w:rPr>
            </w:pPr>
            <w:r>
              <w:rPr>
                <w:b/>
              </w:rPr>
              <w:t>9</w:t>
            </w:r>
          </w:p>
        </w:tc>
        <w:tc>
          <w:tcPr>
            <w:tcW w:w="8573" w:type="dxa"/>
            <w:gridSpan w:val="5"/>
            <w:shd w:val="clear" w:color="auto" w:fill="ED7D31"/>
            <w:vAlign w:val="center"/>
          </w:tcPr>
          <w:p>
            <w:pPr>
              <w:pStyle w:val="3"/>
              <w:jc w:val="center"/>
              <w:rPr>
                <w:b/>
                <w:sz w:val="20"/>
                <w:szCs w:val="20"/>
              </w:rPr>
            </w:pPr>
            <w:r>
              <w:rPr>
                <w:b/>
              </w:rPr>
              <w:t>MACONNERIE- BOIS</w:t>
            </w: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9.1</w:t>
            </w:r>
          </w:p>
        </w:tc>
        <w:tc>
          <w:tcPr>
            <w:tcW w:w="4892" w:type="dxa"/>
            <w:shd w:val="clear" w:color="auto" w:fill="FFFFFF"/>
            <w:vAlign w:val="center"/>
          </w:tcPr>
          <w:p>
            <w:pPr>
              <w:pStyle w:val="3"/>
              <w:jc w:val="both"/>
              <w:rPr>
                <w:b/>
                <w:i/>
                <w:sz w:val="20"/>
                <w:szCs w:val="20"/>
              </w:rPr>
            </w:pPr>
            <w:r>
              <w:rPr>
                <w:b/>
                <w:i/>
              </w:rPr>
              <w:t>Porte iso plane 0,7x2,10 P11</w:t>
            </w:r>
          </w:p>
        </w:tc>
        <w:tc>
          <w:tcPr>
            <w:tcW w:w="767"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919" w:type="dxa"/>
            <w:shd w:val="clear" w:color="auto" w:fill="FFFFFF"/>
            <w:vAlign w:val="center"/>
          </w:tcPr>
          <w:p>
            <w:pPr>
              <w:pStyle w:val="3"/>
              <w:jc w:val="right"/>
              <w:rPr>
                <w:b/>
                <w:sz w:val="20"/>
                <w:szCs w:val="20"/>
              </w:rPr>
            </w:pPr>
            <w:r>
              <w:rPr>
                <w:b/>
              </w:rPr>
              <w:t>9,00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9.2</w:t>
            </w:r>
          </w:p>
        </w:tc>
        <w:tc>
          <w:tcPr>
            <w:tcW w:w="4892" w:type="dxa"/>
            <w:shd w:val="clear" w:color="auto" w:fill="FFFFFF"/>
            <w:vAlign w:val="center"/>
          </w:tcPr>
          <w:p>
            <w:pPr>
              <w:pStyle w:val="3"/>
              <w:jc w:val="both"/>
              <w:rPr>
                <w:sz w:val="20"/>
                <w:szCs w:val="20"/>
              </w:rPr>
            </w:pPr>
            <w:r>
              <w:rPr>
                <w:b/>
                <w:i/>
              </w:rPr>
              <w:t>Porte iso plane 1,00x2,10 P12</w:t>
            </w:r>
          </w:p>
        </w:tc>
        <w:tc>
          <w:tcPr>
            <w:tcW w:w="767"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919" w:type="dxa"/>
            <w:shd w:val="clear" w:color="auto" w:fill="FFFFFF"/>
            <w:vAlign w:val="center"/>
          </w:tcPr>
          <w:p>
            <w:pPr>
              <w:pStyle w:val="3"/>
              <w:jc w:val="right"/>
              <w:rPr>
                <w:b/>
                <w:sz w:val="20"/>
                <w:szCs w:val="20"/>
              </w:rPr>
            </w:pPr>
            <w:r>
              <w:rPr>
                <w:b/>
              </w:rPr>
              <w:t>4,00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9.3</w:t>
            </w:r>
          </w:p>
        </w:tc>
        <w:tc>
          <w:tcPr>
            <w:tcW w:w="4892" w:type="dxa"/>
            <w:shd w:val="clear" w:color="auto" w:fill="FFFFFF"/>
            <w:vAlign w:val="center"/>
          </w:tcPr>
          <w:p>
            <w:pPr>
              <w:pStyle w:val="3"/>
              <w:jc w:val="both"/>
              <w:rPr>
                <w:b/>
                <w:i/>
                <w:sz w:val="20"/>
                <w:szCs w:val="20"/>
              </w:rPr>
            </w:pPr>
            <w:r>
              <w:rPr>
                <w:b/>
                <w:i/>
              </w:rPr>
              <w:t>Fenêtre châssis naco 10 lames 1,50 m y compris toile moustiquaire (CN)</w:t>
            </w:r>
          </w:p>
        </w:tc>
        <w:tc>
          <w:tcPr>
            <w:tcW w:w="767"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919" w:type="dxa"/>
            <w:shd w:val="clear" w:color="auto" w:fill="FFFFFF"/>
            <w:vAlign w:val="center"/>
          </w:tcPr>
          <w:p>
            <w:pPr>
              <w:pStyle w:val="3"/>
              <w:jc w:val="right"/>
              <w:rPr>
                <w:b/>
                <w:sz w:val="20"/>
                <w:szCs w:val="20"/>
              </w:rPr>
            </w:pPr>
            <w:r>
              <w:rPr>
                <w:b/>
              </w:rPr>
              <w:t>12,00 </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9.4</w:t>
            </w:r>
          </w:p>
        </w:tc>
        <w:tc>
          <w:tcPr>
            <w:tcW w:w="4892" w:type="dxa"/>
            <w:shd w:val="clear" w:color="auto" w:fill="FFFFFF"/>
            <w:vAlign w:val="center"/>
          </w:tcPr>
          <w:p>
            <w:pPr>
              <w:pStyle w:val="3"/>
              <w:jc w:val="both"/>
              <w:rPr>
                <w:sz w:val="20"/>
                <w:szCs w:val="20"/>
              </w:rPr>
            </w:pPr>
            <w:r>
              <w:rPr>
                <w:b/>
                <w:i/>
              </w:rPr>
              <w:t>Fenêtre châssis naco 7 lames 0,60 m y compris toile moustiquaire (CN)</w:t>
            </w:r>
          </w:p>
        </w:tc>
        <w:tc>
          <w:tcPr>
            <w:tcW w:w="767"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919" w:type="dxa"/>
            <w:shd w:val="clear" w:color="auto" w:fill="FFFFFF"/>
            <w:vAlign w:val="center"/>
          </w:tcPr>
          <w:p>
            <w:pPr>
              <w:pStyle w:val="3"/>
              <w:jc w:val="right"/>
              <w:rPr>
                <w:b/>
                <w:sz w:val="20"/>
                <w:szCs w:val="20"/>
              </w:rPr>
            </w:pPr>
            <w:r>
              <w:rPr>
                <w:b/>
              </w:rPr>
              <w:t>15,00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9.5</w:t>
            </w:r>
          </w:p>
        </w:tc>
        <w:tc>
          <w:tcPr>
            <w:tcW w:w="4892" w:type="dxa"/>
            <w:shd w:val="clear" w:color="auto" w:fill="FFFFFF"/>
            <w:vAlign w:val="center"/>
          </w:tcPr>
          <w:p>
            <w:pPr>
              <w:pStyle w:val="3"/>
              <w:jc w:val="both"/>
              <w:rPr>
                <w:sz w:val="20"/>
                <w:szCs w:val="20"/>
              </w:rPr>
            </w:pPr>
            <w:r>
              <w:rPr>
                <w:b/>
                <w:i/>
              </w:rPr>
              <w:t xml:space="preserve">Placards de 0,8x3 en CP ép 0,19 y compris étagères </w:t>
            </w:r>
          </w:p>
        </w:tc>
        <w:tc>
          <w:tcPr>
            <w:tcW w:w="767" w:type="dxa"/>
            <w:shd w:val="clear" w:color="auto" w:fill="FFFFFF"/>
            <w:vAlign w:val="center"/>
          </w:tcPr>
          <w:p>
            <w:pPr>
              <w:pStyle w:val="3"/>
              <w:jc w:val="center"/>
              <w:rPr>
                <w:b/>
                <w:sz w:val="20"/>
                <w:szCs w:val="20"/>
              </w:rPr>
            </w:pPr>
            <w:r>
              <w:rPr>
                <w:b/>
              </w:rPr>
              <w:t xml:space="preserve"> U</w:t>
            </w:r>
          </w:p>
          <w:p>
            <w:pPr>
              <w:pStyle w:val="3"/>
              <w:jc w:val="center"/>
              <w:rPr>
                <w:b/>
                <w:sz w:val="20"/>
                <w:szCs w:val="20"/>
              </w:rPr>
            </w:pPr>
          </w:p>
        </w:tc>
        <w:tc>
          <w:tcPr>
            <w:tcW w:w="919" w:type="dxa"/>
            <w:shd w:val="clear" w:color="auto" w:fill="FFFFFF"/>
            <w:vAlign w:val="center"/>
          </w:tcPr>
          <w:p>
            <w:pPr>
              <w:pStyle w:val="3"/>
              <w:jc w:val="right"/>
              <w:rPr>
                <w:b/>
                <w:sz w:val="20"/>
                <w:szCs w:val="20"/>
              </w:rPr>
            </w:pPr>
            <w:r>
              <w:rPr>
                <w:b/>
              </w:rPr>
              <w:t>2,00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sz w:val="20"/>
                <w:szCs w:val="20"/>
              </w:rPr>
            </w:pPr>
            <w:r>
              <w:t>9.6</w:t>
            </w:r>
          </w:p>
        </w:tc>
        <w:tc>
          <w:tcPr>
            <w:tcW w:w="4892" w:type="dxa"/>
            <w:shd w:val="clear" w:color="auto" w:fill="FFFFFF"/>
            <w:vAlign w:val="center"/>
          </w:tcPr>
          <w:p>
            <w:pPr>
              <w:pStyle w:val="3"/>
              <w:jc w:val="both"/>
              <w:rPr>
                <w:sz w:val="20"/>
                <w:szCs w:val="20"/>
              </w:rPr>
            </w:pPr>
            <w:r>
              <w:rPr>
                <w:b/>
                <w:i/>
              </w:rPr>
              <w:t>Grille antivol</w:t>
            </w:r>
          </w:p>
        </w:tc>
        <w:tc>
          <w:tcPr>
            <w:tcW w:w="767" w:type="dxa"/>
            <w:shd w:val="clear" w:color="auto" w:fill="FFFFFF"/>
            <w:vAlign w:val="center"/>
          </w:tcPr>
          <w:p>
            <w:pPr>
              <w:pStyle w:val="3"/>
              <w:jc w:val="center"/>
              <w:rPr>
                <w:b/>
                <w:sz w:val="20"/>
                <w:szCs w:val="20"/>
              </w:rPr>
            </w:pPr>
            <w:r>
              <w:rPr>
                <w:b/>
              </w:rPr>
              <w:t>U</w:t>
            </w:r>
          </w:p>
          <w:p>
            <w:pPr>
              <w:pStyle w:val="3"/>
              <w:jc w:val="center"/>
              <w:rPr>
                <w:b/>
                <w:sz w:val="20"/>
                <w:szCs w:val="20"/>
              </w:rPr>
            </w:pPr>
          </w:p>
        </w:tc>
        <w:tc>
          <w:tcPr>
            <w:tcW w:w="919" w:type="dxa"/>
            <w:shd w:val="clear" w:color="auto" w:fill="FFFFFF"/>
            <w:vAlign w:val="center"/>
          </w:tcPr>
          <w:p>
            <w:pPr>
              <w:pStyle w:val="3"/>
              <w:jc w:val="right"/>
              <w:rPr>
                <w:b/>
                <w:sz w:val="20"/>
                <w:szCs w:val="20"/>
              </w:rPr>
            </w:pPr>
            <w:r>
              <w:rPr>
                <w:b/>
              </w:rPr>
              <w:t>26,00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9</w:t>
            </w:r>
          </w:p>
        </w:tc>
        <w:tc>
          <w:tcPr>
            <w:tcW w:w="1073" w:type="dxa"/>
            <w:shd w:val="clear" w:color="auto" w:fill="ED7D31"/>
          </w:tcPr>
          <w:p>
            <w:pPr>
              <w:pStyle w:val="3"/>
              <w:jc w:val="center"/>
              <w:rPr>
                <w:b/>
                <w:sz w:val="20"/>
                <w:szCs w:val="20"/>
              </w:rPr>
            </w:pPr>
          </w:p>
        </w:tc>
      </w:tr>
      <w:tr>
        <w:tblPrEx>
          <w:tblLayout w:type="fixed"/>
        </w:tblPrEx>
        <w:trPr>
          <w:cantSplit/>
          <w:trHeight w:val="378" w:hRule="atLeast"/>
          <w:tblHeader/>
        </w:trPr>
        <w:tc>
          <w:tcPr>
            <w:tcW w:w="930" w:type="dxa"/>
            <w:shd w:val="clear" w:color="auto" w:fill="ED7D31"/>
            <w:vAlign w:val="center"/>
          </w:tcPr>
          <w:p>
            <w:pPr>
              <w:pStyle w:val="3"/>
              <w:jc w:val="center"/>
              <w:rPr>
                <w:b/>
                <w:sz w:val="20"/>
                <w:szCs w:val="20"/>
              </w:rPr>
            </w:pPr>
            <w:r>
              <w:rPr>
                <w:b/>
              </w:rPr>
              <w:t>12</w:t>
            </w:r>
          </w:p>
        </w:tc>
        <w:tc>
          <w:tcPr>
            <w:tcW w:w="8573" w:type="dxa"/>
            <w:gridSpan w:val="5"/>
            <w:shd w:val="clear" w:color="auto" w:fill="ED7D31"/>
            <w:vAlign w:val="center"/>
          </w:tcPr>
          <w:p>
            <w:pPr>
              <w:pStyle w:val="3"/>
              <w:jc w:val="center"/>
              <w:rPr>
                <w:b/>
                <w:sz w:val="20"/>
                <w:szCs w:val="20"/>
              </w:rPr>
            </w:pPr>
            <w:r>
              <w:rPr>
                <w:b/>
              </w:rPr>
              <w:t>LOT 12: ELECTRICITE</w:t>
            </w:r>
          </w:p>
        </w:tc>
      </w:tr>
      <w:tr>
        <w:trPr>
          <w:cantSplit/>
          <w:trHeight w:val="300" w:hRule="atLeast"/>
          <w:tblHeader/>
        </w:trPr>
        <w:tc>
          <w:tcPr>
            <w:tcW w:w="930" w:type="dxa"/>
            <w:shd w:val="clear" w:color="auto" w:fill="FFFFFF"/>
            <w:vAlign w:val="center"/>
          </w:tcPr>
          <w:p>
            <w:pPr>
              <w:pStyle w:val="3"/>
              <w:rPr>
                <w:b/>
                <w:sz w:val="20"/>
                <w:szCs w:val="20"/>
              </w:rPr>
            </w:pPr>
            <w:r>
              <w:rPr>
                <w:b/>
              </w:rPr>
              <w:t> 12.1</w:t>
            </w:r>
          </w:p>
        </w:tc>
        <w:tc>
          <w:tcPr>
            <w:tcW w:w="8573" w:type="dxa"/>
            <w:gridSpan w:val="5"/>
            <w:shd w:val="clear" w:color="auto" w:fill="FFFFFF"/>
            <w:vAlign w:val="bottom"/>
          </w:tcPr>
          <w:p>
            <w:pPr>
              <w:pStyle w:val="3"/>
              <w:jc w:val="center"/>
              <w:rPr>
                <w:b/>
                <w:i/>
                <w:sz w:val="20"/>
                <w:szCs w:val="20"/>
              </w:rPr>
            </w:pPr>
            <w:r>
              <w:rPr>
                <w:b/>
                <w:i/>
              </w:rPr>
              <w:t>Circuit de terre et mise à la terre:</w:t>
            </w:r>
          </w:p>
        </w:tc>
      </w:tr>
      <w:tr>
        <w:trPr>
          <w:cantSplit/>
          <w:trHeight w:val="300" w:hRule="atLeast"/>
          <w:tblHeader/>
        </w:trPr>
        <w:tc>
          <w:tcPr>
            <w:tcW w:w="930" w:type="dxa"/>
            <w:shd w:val="clear" w:color="auto" w:fill="FFFFFF"/>
            <w:vAlign w:val="center"/>
          </w:tcPr>
          <w:p>
            <w:pPr>
              <w:pStyle w:val="3"/>
              <w:rPr>
                <w:b/>
                <w:sz w:val="20"/>
                <w:szCs w:val="20"/>
              </w:rPr>
            </w:pPr>
            <w:r>
              <w:rPr>
                <w:b/>
              </w:rPr>
              <w:t> 12.1.1</w:t>
            </w:r>
          </w:p>
        </w:tc>
        <w:tc>
          <w:tcPr>
            <w:tcW w:w="4892" w:type="dxa"/>
            <w:shd w:val="clear" w:color="auto" w:fill="FFFFFF"/>
            <w:vAlign w:val="bottom"/>
          </w:tcPr>
          <w:p>
            <w:pPr>
              <w:pStyle w:val="3"/>
              <w:jc w:val="both"/>
              <w:rPr>
                <w:b/>
                <w:i/>
                <w:sz w:val="20"/>
                <w:szCs w:val="20"/>
              </w:rPr>
            </w:pPr>
            <w:r>
              <w:rPr>
                <w:b/>
                <w:i/>
              </w:rPr>
              <w:t>Ceinture de terre:</w:t>
            </w:r>
            <w:r>
              <w:rPr>
                <w:b/>
              </w:rPr>
              <w:t xml:space="preserve"> </w:t>
            </w:r>
          </w:p>
        </w:tc>
        <w:tc>
          <w:tcPr>
            <w:tcW w:w="767" w:type="dxa"/>
            <w:shd w:val="clear" w:color="auto" w:fill="FFFFFF"/>
            <w:vAlign w:val="bottom"/>
          </w:tcPr>
          <w:p>
            <w:pPr>
              <w:pStyle w:val="3"/>
              <w:rPr>
                <w:b/>
                <w:sz w:val="20"/>
                <w:szCs w:val="20"/>
              </w:rPr>
            </w:pPr>
            <w:r>
              <w:rPr>
                <w:b/>
              </w:rPr>
              <w:t>ml</w:t>
            </w:r>
          </w:p>
        </w:tc>
        <w:tc>
          <w:tcPr>
            <w:tcW w:w="919" w:type="dxa"/>
            <w:shd w:val="clear" w:color="auto" w:fill="FFFFFF"/>
            <w:vAlign w:val="center"/>
          </w:tcPr>
          <w:p>
            <w:pPr>
              <w:pStyle w:val="3"/>
              <w:jc w:val="right"/>
              <w:rPr>
                <w:b/>
                <w:sz w:val="20"/>
                <w:szCs w:val="20"/>
              </w:rPr>
            </w:pPr>
            <w:r>
              <w:rPr>
                <w:b/>
              </w:rPr>
              <w:t> 116,00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12.1.2</w:t>
            </w:r>
          </w:p>
        </w:tc>
        <w:tc>
          <w:tcPr>
            <w:tcW w:w="4892" w:type="dxa"/>
            <w:shd w:val="clear" w:color="auto" w:fill="FFFFFF"/>
            <w:vAlign w:val="bottom"/>
          </w:tcPr>
          <w:p>
            <w:pPr>
              <w:pStyle w:val="3"/>
              <w:jc w:val="both"/>
              <w:rPr>
                <w:b/>
                <w:i/>
                <w:sz w:val="20"/>
                <w:szCs w:val="20"/>
              </w:rPr>
            </w:pPr>
            <w:r>
              <w:rPr>
                <w:b/>
                <w:i/>
              </w:rPr>
              <w:t>Liaison équipotentielles :</w:t>
            </w:r>
          </w:p>
        </w:tc>
        <w:tc>
          <w:tcPr>
            <w:tcW w:w="767" w:type="dxa"/>
            <w:shd w:val="clear" w:color="auto" w:fill="FFFFFF"/>
            <w:vAlign w:val="bottom"/>
          </w:tcPr>
          <w:p>
            <w:pPr>
              <w:pStyle w:val="3"/>
              <w:jc w:val="center"/>
              <w:rPr>
                <w:b/>
                <w:sz w:val="20"/>
                <w:szCs w:val="20"/>
              </w:rPr>
            </w:pPr>
            <w:r>
              <w:rPr>
                <w:b/>
              </w:rPr>
              <w:t xml:space="preserve">Ens </w:t>
            </w:r>
          </w:p>
        </w:tc>
        <w:tc>
          <w:tcPr>
            <w:tcW w:w="919" w:type="dxa"/>
            <w:shd w:val="clear" w:color="auto" w:fill="FFFFFF"/>
            <w:vAlign w:val="center"/>
          </w:tcPr>
          <w:p>
            <w:pPr>
              <w:pStyle w:val="3"/>
              <w:jc w:val="right"/>
              <w:rPr>
                <w:b/>
                <w:sz w:val="20"/>
                <w:szCs w:val="20"/>
              </w:rPr>
            </w:pPr>
            <w:r>
              <w:rPr>
                <w:b/>
              </w:rPr>
              <w:t>1,00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12.2.1</w:t>
            </w:r>
          </w:p>
        </w:tc>
        <w:tc>
          <w:tcPr>
            <w:tcW w:w="4892" w:type="dxa"/>
            <w:shd w:val="clear" w:color="auto" w:fill="auto"/>
            <w:vAlign w:val="bottom"/>
          </w:tcPr>
          <w:p>
            <w:pPr>
              <w:pStyle w:val="3"/>
              <w:jc w:val="both"/>
              <w:rPr>
                <w:b/>
                <w:i/>
                <w:sz w:val="20"/>
                <w:szCs w:val="20"/>
              </w:rPr>
            </w:pPr>
            <w:r>
              <w:rPr>
                <w:b/>
                <w:i/>
              </w:rPr>
              <w:t>Coffrets et tableaux:</w:t>
            </w:r>
          </w:p>
        </w:tc>
        <w:tc>
          <w:tcPr>
            <w:tcW w:w="767" w:type="dxa"/>
            <w:shd w:val="clear" w:color="auto" w:fill="auto"/>
            <w:vAlign w:val="bottom"/>
          </w:tcPr>
          <w:p>
            <w:pPr>
              <w:pStyle w:val="3"/>
              <w:jc w:val="center"/>
              <w:rPr>
                <w:b/>
                <w:sz w:val="20"/>
                <w:szCs w:val="20"/>
              </w:rPr>
            </w:pPr>
            <w:r>
              <w:rPr>
                <w:b/>
              </w:rPr>
              <w:t>FF</w:t>
            </w:r>
          </w:p>
        </w:tc>
        <w:tc>
          <w:tcPr>
            <w:tcW w:w="919" w:type="dxa"/>
            <w:shd w:val="clear" w:color="auto" w:fill="FFFFFF"/>
            <w:vAlign w:val="center"/>
          </w:tcPr>
          <w:p>
            <w:pPr>
              <w:pStyle w:val="3"/>
              <w:jc w:val="right"/>
              <w:rPr>
                <w:b/>
                <w:sz w:val="20"/>
                <w:szCs w:val="20"/>
              </w:rPr>
            </w:pPr>
            <w:r>
              <w:rPr>
                <w:b/>
              </w:rPr>
              <w:t>1,00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12.3.1</w:t>
            </w:r>
          </w:p>
        </w:tc>
        <w:tc>
          <w:tcPr>
            <w:tcW w:w="4892" w:type="dxa"/>
            <w:shd w:val="clear" w:color="auto" w:fill="auto"/>
            <w:vAlign w:val="bottom"/>
          </w:tcPr>
          <w:p>
            <w:pPr>
              <w:pStyle w:val="3"/>
              <w:jc w:val="both"/>
              <w:rPr>
                <w:b/>
                <w:i/>
                <w:sz w:val="20"/>
                <w:szCs w:val="20"/>
              </w:rPr>
            </w:pPr>
            <w:r>
              <w:rPr>
                <w:b/>
                <w:i/>
              </w:rPr>
              <w:t>Interrupteur simple allumage y compris foretage et câblage :</w:t>
            </w:r>
          </w:p>
        </w:tc>
        <w:tc>
          <w:tcPr>
            <w:tcW w:w="767" w:type="dxa"/>
            <w:shd w:val="clear" w:color="auto" w:fill="auto"/>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r>
              <w:rPr>
                <w:b/>
              </w:rPr>
              <w:t>24,00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12.3.2</w:t>
            </w:r>
          </w:p>
        </w:tc>
        <w:tc>
          <w:tcPr>
            <w:tcW w:w="4892" w:type="dxa"/>
            <w:shd w:val="clear" w:color="auto" w:fill="auto"/>
            <w:vAlign w:val="bottom"/>
          </w:tcPr>
          <w:p>
            <w:pPr>
              <w:pStyle w:val="3"/>
              <w:jc w:val="both"/>
              <w:rPr>
                <w:b/>
                <w:i/>
                <w:sz w:val="20"/>
                <w:szCs w:val="20"/>
              </w:rPr>
            </w:pPr>
            <w:r>
              <w:rPr>
                <w:b/>
                <w:i/>
              </w:rPr>
              <w:t>Interrupteur va et viens  allumage y compris foretage et câblage :</w:t>
            </w:r>
          </w:p>
        </w:tc>
        <w:tc>
          <w:tcPr>
            <w:tcW w:w="767" w:type="dxa"/>
            <w:shd w:val="clear" w:color="auto" w:fill="auto"/>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r>
              <w:rPr>
                <w:b/>
              </w:rPr>
              <w:t>2,00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12.3.3</w:t>
            </w:r>
          </w:p>
        </w:tc>
        <w:tc>
          <w:tcPr>
            <w:tcW w:w="4892" w:type="dxa"/>
            <w:shd w:val="clear" w:color="auto" w:fill="auto"/>
            <w:vAlign w:val="bottom"/>
          </w:tcPr>
          <w:p>
            <w:pPr>
              <w:pStyle w:val="3"/>
              <w:jc w:val="both"/>
              <w:rPr>
                <w:b/>
                <w:i/>
                <w:sz w:val="20"/>
                <w:szCs w:val="20"/>
              </w:rPr>
            </w:pPr>
            <w:r>
              <w:rPr>
                <w:b/>
                <w:i/>
              </w:rPr>
              <w:t>Prises de courant 2P+T 16A y compris foretage et câblage :</w:t>
            </w:r>
          </w:p>
        </w:tc>
        <w:tc>
          <w:tcPr>
            <w:tcW w:w="767" w:type="dxa"/>
            <w:shd w:val="clear" w:color="auto" w:fill="auto"/>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r>
              <w:rPr>
                <w:b/>
              </w:rPr>
              <w:t>17,00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12.4.1</w:t>
            </w:r>
          </w:p>
        </w:tc>
        <w:tc>
          <w:tcPr>
            <w:tcW w:w="4892" w:type="dxa"/>
            <w:shd w:val="clear" w:color="auto" w:fill="auto"/>
            <w:vAlign w:val="bottom"/>
          </w:tcPr>
          <w:p>
            <w:pPr>
              <w:pStyle w:val="3"/>
              <w:jc w:val="both"/>
              <w:rPr>
                <w:b/>
                <w:i/>
                <w:sz w:val="20"/>
                <w:szCs w:val="20"/>
              </w:rPr>
            </w:pPr>
            <w:r>
              <w:rPr>
                <w:b/>
                <w:i/>
              </w:rPr>
              <w:t>Applique sanitaire 2P+T+inter LEGRAND y compris foretage et câblage :</w:t>
            </w:r>
          </w:p>
        </w:tc>
        <w:tc>
          <w:tcPr>
            <w:tcW w:w="767" w:type="dxa"/>
            <w:shd w:val="clear" w:color="auto" w:fill="auto"/>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r>
              <w:rPr>
                <w:b/>
              </w:rPr>
              <w:t>5,00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12.4.2</w:t>
            </w:r>
          </w:p>
        </w:tc>
        <w:tc>
          <w:tcPr>
            <w:tcW w:w="4892" w:type="dxa"/>
            <w:shd w:val="clear" w:color="auto" w:fill="auto"/>
            <w:vAlign w:val="bottom"/>
          </w:tcPr>
          <w:p>
            <w:pPr>
              <w:pStyle w:val="3"/>
              <w:jc w:val="both"/>
              <w:rPr>
                <w:b/>
                <w:i/>
                <w:sz w:val="20"/>
                <w:szCs w:val="20"/>
              </w:rPr>
            </w:pPr>
            <w:r>
              <w:rPr>
                <w:b/>
                <w:i/>
              </w:rPr>
              <w:t>Réglettes  y compris foretage et câblage :</w:t>
            </w:r>
          </w:p>
        </w:tc>
        <w:tc>
          <w:tcPr>
            <w:tcW w:w="767" w:type="dxa"/>
            <w:shd w:val="clear" w:color="auto" w:fill="auto"/>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r>
              <w:rPr>
                <w:b/>
              </w:rPr>
              <w:t>33,00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12.4.3</w:t>
            </w:r>
          </w:p>
        </w:tc>
        <w:tc>
          <w:tcPr>
            <w:tcW w:w="4892" w:type="dxa"/>
            <w:shd w:val="clear" w:color="auto" w:fill="auto"/>
            <w:vAlign w:val="bottom"/>
          </w:tcPr>
          <w:p>
            <w:pPr>
              <w:pStyle w:val="3"/>
              <w:jc w:val="both"/>
              <w:rPr>
                <w:b/>
                <w:i/>
                <w:sz w:val="20"/>
                <w:szCs w:val="20"/>
              </w:rPr>
            </w:pPr>
            <w:r>
              <w:rPr>
                <w:b/>
                <w:i/>
              </w:rPr>
              <w:t>Hublot rond étanché y compris foretage et câblage:</w:t>
            </w:r>
          </w:p>
        </w:tc>
        <w:tc>
          <w:tcPr>
            <w:tcW w:w="767" w:type="dxa"/>
            <w:shd w:val="clear" w:color="auto" w:fill="auto"/>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r>
              <w:rPr>
                <w:b/>
              </w:rPr>
              <w:t>13,00</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center"/>
              <w:rPr>
                <w:b/>
                <w:sz w:val="20"/>
                <w:szCs w:val="20"/>
              </w:rPr>
            </w:pPr>
            <w:r>
              <w:rPr>
                <w:b/>
              </w:rPr>
              <w:t>Sous-total 12</w:t>
            </w:r>
          </w:p>
        </w:tc>
        <w:tc>
          <w:tcPr>
            <w:tcW w:w="1073" w:type="dxa"/>
            <w:shd w:val="clear" w:color="auto" w:fill="ED7D31"/>
          </w:tcPr>
          <w:p>
            <w:pPr>
              <w:pStyle w:val="3"/>
              <w:jc w:val="center"/>
              <w:rPr>
                <w:b/>
                <w:sz w:val="20"/>
                <w:szCs w:val="20"/>
              </w:rPr>
            </w:pPr>
          </w:p>
        </w:tc>
      </w:tr>
      <w:tr>
        <w:tblPrEx>
          <w:tblLayout w:type="fixed"/>
        </w:tblPrEx>
        <w:trPr>
          <w:cantSplit/>
          <w:trHeight w:val="300" w:hRule="atLeast"/>
          <w:tblHeader/>
        </w:trPr>
        <w:tc>
          <w:tcPr>
            <w:tcW w:w="930" w:type="dxa"/>
            <w:shd w:val="clear" w:color="auto" w:fill="ED7D31"/>
            <w:vAlign w:val="center"/>
          </w:tcPr>
          <w:p>
            <w:pPr>
              <w:pStyle w:val="3"/>
              <w:jc w:val="center"/>
              <w:rPr>
                <w:b/>
                <w:sz w:val="20"/>
                <w:szCs w:val="20"/>
              </w:rPr>
            </w:pPr>
            <w:r>
              <w:rPr>
                <w:b/>
              </w:rPr>
              <w:t>13</w:t>
            </w:r>
          </w:p>
        </w:tc>
        <w:tc>
          <w:tcPr>
            <w:tcW w:w="8573" w:type="dxa"/>
            <w:gridSpan w:val="5"/>
            <w:shd w:val="clear" w:color="auto" w:fill="ED7D31"/>
            <w:vAlign w:val="center"/>
          </w:tcPr>
          <w:p>
            <w:pPr>
              <w:pStyle w:val="3"/>
              <w:jc w:val="center"/>
              <w:rPr>
                <w:b/>
                <w:sz w:val="20"/>
                <w:szCs w:val="20"/>
              </w:rPr>
            </w:pPr>
            <w:r>
              <w:rPr>
                <w:b/>
              </w:rPr>
              <w:t>LOT 13:FLUIDES</w:t>
            </w: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w:t>
            </w:r>
          </w:p>
        </w:tc>
        <w:tc>
          <w:tcPr>
            <w:tcW w:w="4892" w:type="dxa"/>
            <w:shd w:val="clear" w:color="auto" w:fill="FFFFFF"/>
            <w:vAlign w:val="bottom"/>
          </w:tcPr>
          <w:p>
            <w:pPr>
              <w:pStyle w:val="3"/>
              <w:jc w:val="center"/>
              <w:rPr>
                <w:b/>
                <w:i/>
                <w:sz w:val="20"/>
                <w:szCs w:val="20"/>
              </w:rPr>
            </w:pPr>
            <w:r>
              <w:rPr>
                <w:b/>
                <w:i/>
              </w:rPr>
              <w:t>PLOMBERIE SANITAIRE</w:t>
            </w:r>
          </w:p>
        </w:tc>
        <w:tc>
          <w:tcPr>
            <w:tcW w:w="767" w:type="dxa"/>
            <w:shd w:val="clear" w:color="auto" w:fill="FFFFFF"/>
            <w:vAlign w:val="bottom"/>
          </w:tcPr>
          <w:p>
            <w:pPr>
              <w:pStyle w:val="3"/>
              <w:rPr>
                <w:b/>
                <w:sz w:val="20"/>
                <w:szCs w:val="20"/>
              </w:rPr>
            </w:pP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 13.1.2</w:t>
            </w:r>
          </w:p>
        </w:tc>
        <w:tc>
          <w:tcPr>
            <w:tcW w:w="4892" w:type="dxa"/>
            <w:shd w:val="clear" w:color="auto" w:fill="FFFFFF"/>
            <w:vAlign w:val="bottom"/>
          </w:tcPr>
          <w:p>
            <w:pPr>
              <w:pStyle w:val="3"/>
              <w:jc w:val="both"/>
              <w:rPr>
                <w:b/>
                <w:i/>
                <w:sz w:val="20"/>
                <w:szCs w:val="20"/>
              </w:rPr>
            </w:pPr>
            <w:r>
              <w:rPr>
                <w:b/>
                <w:i/>
              </w:rPr>
              <w:t>Réseau d’évacuation EU/EV</w:t>
            </w:r>
          </w:p>
        </w:tc>
        <w:tc>
          <w:tcPr>
            <w:tcW w:w="767" w:type="dxa"/>
            <w:shd w:val="clear" w:color="auto" w:fill="FFFFFF"/>
            <w:vAlign w:val="bottom"/>
          </w:tcPr>
          <w:p>
            <w:pPr>
              <w:pStyle w:val="3"/>
              <w:jc w:val="center"/>
              <w:rPr>
                <w:b/>
                <w:sz w:val="20"/>
                <w:szCs w:val="20"/>
              </w:rPr>
            </w:pPr>
            <w:r>
              <w:rPr>
                <w:b/>
              </w:rPr>
              <w:t>ENS</w:t>
            </w:r>
          </w:p>
        </w:tc>
        <w:tc>
          <w:tcPr>
            <w:tcW w:w="919" w:type="dxa"/>
            <w:shd w:val="clear" w:color="auto" w:fill="FFFFFF"/>
            <w:vAlign w:val="center"/>
          </w:tcPr>
          <w:p>
            <w:pPr>
              <w:pStyle w:val="3"/>
              <w:jc w:val="right"/>
              <w:rPr>
                <w:b/>
                <w:sz w:val="20"/>
                <w:szCs w:val="20"/>
              </w:rPr>
            </w:pPr>
            <w:r>
              <w:rPr>
                <w:b/>
              </w:rPr>
              <w:t> </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 13.1.3</w:t>
            </w:r>
          </w:p>
        </w:tc>
        <w:tc>
          <w:tcPr>
            <w:tcW w:w="4892" w:type="dxa"/>
            <w:shd w:val="clear" w:color="auto" w:fill="FFFFFF"/>
            <w:vAlign w:val="bottom"/>
          </w:tcPr>
          <w:p>
            <w:pPr>
              <w:pStyle w:val="3"/>
              <w:jc w:val="both"/>
              <w:rPr>
                <w:b/>
                <w:i/>
                <w:sz w:val="20"/>
                <w:szCs w:val="20"/>
              </w:rPr>
            </w:pPr>
            <w:r>
              <w:rPr>
                <w:b/>
                <w:i/>
              </w:rPr>
              <w:t>Réseau enterré:</w:t>
            </w:r>
          </w:p>
        </w:tc>
        <w:tc>
          <w:tcPr>
            <w:tcW w:w="767" w:type="dxa"/>
            <w:shd w:val="clear" w:color="auto" w:fill="FFFFFF"/>
            <w:vAlign w:val="bottom"/>
          </w:tcPr>
          <w:p>
            <w:pPr>
              <w:pStyle w:val="3"/>
              <w:jc w:val="center"/>
              <w:rPr>
                <w:b/>
                <w:sz w:val="20"/>
                <w:szCs w:val="20"/>
              </w:rPr>
            </w:pPr>
            <w:r>
              <w:rPr>
                <w:b/>
              </w:rPr>
              <w:t>ENS</w:t>
            </w:r>
          </w:p>
        </w:tc>
        <w:tc>
          <w:tcPr>
            <w:tcW w:w="919" w:type="dxa"/>
            <w:shd w:val="clear" w:color="auto" w:fill="FFFFFF"/>
            <w:vAlign w:val="center"/>
          </w:tcPr>
          <w:p>
            <w:pPr>
              <w:pStyle w:val="3"/>
              <w:jc w:val="right"/>
              <w:rPr>
                <w:b/>
                <w:sz w:val="20"/>
                <w:szCs w:val="20"/>
              </w:rPr>
            </w:pPr>
            <w:r>
              <w:rPr>
                <w:b/>
              </w:rPr>
              <w:t> </w:t>
            </w: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13.1.5</w:t>
            </w:r>
          </w:p>
        </w:tc>
        <w:tc>
          <w:tcPr>
            <w:tcW w:w="4892" w:type="dxa"/>
            <w:shd w:val="clear" w:color="auto" w:fill="FFFFFF"/>
            <w:vAlign w:val="bottom"/>
          </w:tcPr>
          <w:p>
            <w:pPr>
              <w:pStyle w:val="3"/>
              <w:jc w:val="both"/>
              <w:rPr>
                <w:b/>
                <w:i/>
                <w:sz w:val="20"/>
                <w:szCs w:val="20"/>
              </w:rPr>
            </w:pPr>
            <w:r>
              <w:rPr>
                <w:b/>
                <w:i/>
              </w:rPr>
              <w:t>Lavabo blanc :</w:t>
            </w:r>
          </w:p>
        </w:tc>
        <w:tc>
          <w:tcPr>
            <w:tcW w:w="767" w:type="dxa"/>
            <w:shd w:val="clear" w:color="auto" w:fill="FFFFFF"/>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13.1.6</w:t>
            </w:r>
          </w:p>
        </w:tc>
        <w:tc>
          <w:tcPr>
            <w:tcW w:w="4892" w:type="dxa"/>
            <w:shd w:val="clear" w:color="auto" w:fill="FFFFFF"/>
            <w:vAlign w:val="bottom"/>
          </w:tcPr>
          <w:p>
            <w:pPr>
              <w:pStyle w:val="3"/>
              <w:jc w:val="both"/>
              <w:rPr>
                <w:b/>
                <w:i/>
                <w:sz w:val="20"/>
                <w:szCs w:val="20"/>
              </w:rPr>
            </w:pPr>
            <w:r>
              <w:rPr>
                <w:b/>
                <w:i/>
              </w:rPr>
              <w:t>Cuvette en wc :</w:t>
            </w:r>
          </w:p>
        </w:tc>
        <w:tc>
          <w:tcPr>
            <w:tcW w:w="767" w:type="dxa"/>
            <w:shd w:val="clear" w:color="auto" w:fill="FFFFFF"/>
            <w:vAlign w:val="bottom"/>
          </w:tcPr>
          <w:p>
            <w:pPr>
              <w:pStyle w:val="3"/>
              <w:jc w:val="center"/>
              <w:rPr>
                <w:b/>
                <w:sz w:val="20"/>
                <w:szCs w:val="20"/>
              </w:rPr>
            </w:pPr>
            <w:r>
              <w:rPr>
                <w:b/>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295" w:hRule="atLeast"/>
          <w:tblHeader/>
        </w:trPr>
        <w:tc>
          <w:tcPr>
            <w:tcW w:w="930" w:type="dxa"/>
            <w:shd w:val="clear" w:color="auto" w:fill="FFFFFF"/>
            <w:vAlign w:val="center"/>
          </w:tcPr>
          <w:p>
            <w:pPr>
              <w:pStyle w:val="3"/>
              <w:rPr>
                <w:b/>
                <w:sz w:val="20"/>
                <w:szCs w:val="20"/>
              </w:rPr>
            </w:pPr>
            <w:r>
              <w:rPr>
                <w:b/>
              </w:rPr>
              <w:t>13.1.7</w:t>
            </w:r>
          </w:p>
        </w:tc>
        <w:tc>
          <w:tcPr>
            <w:tcW w:w="4892" w:type="dxa"/>
            <w:shd w:val="clear" w:color="auto" w:fill="FFFFFF"/>
            <w:vAlign w:val="bottom"/>
          </w:tcPr>
          <w:p>
            <w:pPr>
              <w:pStyle w:val="3"/>
              <w:jc w:val="both"/>
              <w:rPr>
                <w:b/>
                <w:i/>
                <w:sz w:val="20"/>
                <w:szCs w:val="20"/>
              </w:rPr>
            </w:pPr>
            <w:r>
              <w:rPr>
                <w:b/>
                <w:i/>
              </w:rPr>
              <w:t>Evier :</w:t>
            </w:r>
          </w:p>
        </w:tc>
        <w:tc>
          <w:tcPr>
            <w:tcW w:w="767" w:type="dxa"/>
            <w:shd w:val="clear" w:color="auto" w:fill="FFFFFF"/>
            <w:vAlign w:val="bottom"/>
          </w:tcPr>
          <w:p>
            <w:pPr>
              <w:pStyle w:val="3"/>
              <w:jc w:val="center"/>
              <w:rPr>
                <w:b/>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13.1.8</w:t>
            </w:r>
          </w:p>
        </w:tc>
        <w:tc>
          <w:tcPr>
            <w:tcW w:w="4892" w:type="dxa"/>
            <w:shd w:val="clear" w:color="auto" w:fill="FFFFFF"/>
            <w:vAlign w:val="bottom"/>
          </w:tcPr>
          <w:p>
            <w:pPr>
              <w:pStyle w:val="3"/>
              <w:jc w:val="both"/>
              <w:rPr>
                <w:b/>
                <w:i/>
                <w:sz w:val="20"/>
                <w:szCs w:val="20"/>
              </w:rPr>
            </w:pPr>
            <w:r>
              <w:rPr>
                <w:b/>
                <w:i/>
              </w:rPr>
              <w:t>Porte serviettes :</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13.1.9</w:t>
            </w:r>
          </w:p>
        </w:tc>
        <w:tc>
          <w:tcPr>
            <w:tcW w:w="4892" w:type="dxa"/>
            <w:shd w:val="clear" w:color="auto" w:fill="FFFFFF"/>
            <w:vAlign w:val="bottom"/>
          </w:tcPr>
          <w:p>
            <w:pPr>
              <w:pStyle w:val="3"/>
              <w:jc w:val="both"/>
              <w:rPr>
                <w:b/>
                <w:i/>
                <w:sz w:val="20"/>
                <w:szCs w:val="20"/>
              </w:rPr>
            </w:pPr>
            <w:r>
              <w:rPr>
                <w:b/>
                <w:i/>
              </w:rPr>
              <w:t>Porte savons :</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13.1.10</w:t>
            </w:r>
          </w:p>
        </w:tc>
        <w:tc>
          <w:tcPr>
            <w:tcW w:w="4892" w:type="dxa"/>
            <w:shd w:val="clear" w:color="auto" w:fill="FFFFFF"/>
            <w:vAlign w:val="bottom"/>
          </w:tcPr>
          <w:p>
            <w:pPr>
              <w:pStyle w:val="3"/>
              <w:jc w:val="both"/>
              <w:rPr>
                <w:b/>
                <w:i/>
                <w:sz w:val="20"/>
                <w:szCs w:val="20"/>
              </w:rPr>
            </w:pPr>
            <w:r>
              <w:rPr>
                <w:b/>
                <w:i/>
              </w:rPr>
              <w:t>Miroir :</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13.1.11</w:t>
            </w:r>
          </w:p>
        </w:tc>
        <w:tc>
          <w:tcPr>
            <w:tcW w:w="4892" w:type="dxa"/>
            <w:shd w:val="clear" w:color="auto" w:fill="FFFFFF"/>
            <w:vAlign w:val="bottom"/>
          </w:tcPr>
          <w:p>
            <w:pPr>
              <w:pStyle w:val="3"/>
              <w:jc w:val="both"/>
              <w:rPr>
                <w:b/>
                <w:i/>
                <w:sz w:val="20"/>
                <w:szCs w:val="20"/>
              </w:rPr>
            </w:pPr>
            <w:r>
              <w:rPr>
                <w:b/>
                <w:i/>
              </w:rPr>
              <w:t>Porte savons blanc encastré :</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13.1.12</w:t>
            </w:r>
          </w:p>
        </w:tc>
        <w:tc>
          <w:tcPr>
            <w:tcW w:w="4892" w:type="dxa"/>
            <w:shd w:val="clear" w:color="auto" w:fill="FFFFFF"/>
            <w:vAlign w:val="bottom"/>
          </w:tcPr>
          <w:p>
            <w:pPr>
              <w:pStyle w:val="3"/>
              <w:jc w:val="both"/>
              <w:rPr>
                <w:b/>
                <w:i/>
                <w:sz w:val="20"/>
                <w:szCs w:val="20"/>
              </w:rPr>
            </w:pPr>
            <w:r>
              <w:rPr>
                <w:b/>
                <w:i/>
              </w:rPr>
              <w:t>Porte papier hygiénique :</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13.1.13</w:t>
            </w:r>
          </w:p>
        </w:tc>
        <w:tc>
          <w:tcPr>
            <w:tcW w:w="4892" w:type="dxa"/>
            <w:shd w:val="clear" w:color="auto" w:fill="FFFFFF"/>
            <w:vAlign w:val="bottom"/>
          </w:tcPr>
          <w:p>
            <w:pPr>
              <w:pStyle w:val="3"/>
              <w:jc w:val="both"/>
              <w:rPr>
                <w:b/>
                <w:i/>
                <w:sz w:val="20"/>
                <w:szCs w:val="20"/>
              </w:rPr>
            </w:pPr>
            <w:r>
              <w:rPr>
                <w:b/>
                <w:i/>
              </w:rPr>
              <w:t>Siphon de sol:</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13.1.14</w:t>
            </w:r>
          </w:p>
        </w:tc>
        <w:tc>
          <w:tcPr>
            <w:tcW w:w="4892" w:type="dxa"/>
            <w:shd w:val="clear" w:color="auto" w:fill="FFFFFF"/>
            <w:vAlign w:val="bottom"/>
          </w:tcPr>
          <w:p>
            <w:pPr>
              <w:pStyle w:val="3"/>
              <w:jc w:val="both"/>
              <w:rPr>
                <w:b/>
                <w:i/>
                <w:sz w:val="20"/>
                <w:szCs w:val="20"/>
              </w:rPr>
            </w:pPr>
            <w:r>
              <w:rPr>
                <w:b/>
                <w:i/>
              </w:rPr>
              <w:t>douche :</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13.1.15</w:t>
            </w:r>
          </w:p>
        </w:tc>
        <w:tc>
          <w:tcPr>
            <w:tcW w:w="4892" w:type="dxa"/>
            <w:shd w:val="clear" w:color="auto" w:fill="FFFFFF"/>
            <w:vAlign w:val="bottom"/>
          </w:tcPr>
          <w:p>
            <w:pPr>
              <w:pStyle w:val="3"/>
              <w:jc w:val="both"/>
              <w:rPr>
                <w:b/>
                <w:i/>
                <w:sz w:val="20"/>
                <w:szCs w:val="20"/>
              </w:rPr>
            </w:pPr>
            <w:r>
              <w:rPr>
                <w:b/>
                <w:i/>
              </w:rPr>
              <w:t>Robinet d’eau dans la cours:</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13.2.1</w:t>
            </w:r>
          </w:p>
        </w:tc>
        <w:tc>
          <w:tcPr>
            <w:tcW w:w="4892" w:type="dxa"/>
            <w:shd w:val="clear" w:color="auto" w:fill="FFFFFF"/>
            <w:vAlign w:val="bottom"/>
          </w:tcPr>
          <w:p>
            <w:pPr>
              <w:pStyle w:val="3"/>
              <w:jc w:val="both"/>
              <w:rPr>
                <w:b/>
                <w:i/>
                <w:sz w:val="20"/>
                <w:szCs w:val="20"/>
              </w:rPr>
            </w:pPr>
            <w:r>
              <w:rPr>
                <w:b/>
                <w:i/>
              </w:rPr>
              <w:t xml:space="preserve">  fosse septique pour 40 usagers y compris canalisation et regard de raccordement</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930" w:type="dxa"/>
            <w:shd w:val="clear" w:color="auto" w:fill="FFFFFF"/>
            <w:vAlign w:val="center"/>
          </w:tcPr>
          <w:p>
            <w:pPr>
              <w:pStyle w:val="3"/>
              <w:rPr>
                <w:b/>
                <w:sz w:val="20"/>
                <w:szCs w:val="20"/>
              </w:rPr>
            </w:pPr>
            <w:r>
              <w:rPr>
                <w:b/>
              </w:rPr>
              <w:t>13.2.2</w:t>
            </w:r>
          </w:p>
        </w:tc>
        <w:tc>
          <w:tcPr>
            <w:tcW w:w="4892" w:type="dxa"/>
            <w:shd w:val="clear" w:color="auto" w:fill="FFFFFF"/>
            <w:vAlign w:val="bottom"/>
          </w:tcPr>
          <w:p>
            <w:pPr>
              <w:pStyle w:val="3"/>
              <w:jc w:val="both"/>
              <w:rPr>
                <w:b/>
                <w:i/>
                <w:sz w:val="20"/>
                <w:szCs w:val="20"/>
              </w:rPr>
            </w:pPr>
            <w:r>
              <w:rPr>
                <w:b/>
                <w:i/>
              </w:rPr>
              <w:t>Puisard pour40 usagers y compris canalisation et regard de raccordement</w:t>
            </w:r>
          </w:p>
        </w:tc>
        <w:tc>
          <w:tcPr>
            <w:tcW w:w="767" w:type="dxa"/>
            <w:shd w:val="clear" w:color="auto" w:fill="FFFFFF"/>
            <w:vAlign w:val="bottom"/>
          </w:tcPr>
          <w:p>
            <w:pPr>
              <w:pStyle w:val="3"/>
              <w:jc w:val="center"/>
              <w:rPr>
                <w:b/>
                <w:i/>
                <w:sz w:val="20"/>
                <w:szCs w:val="20"/>
              </w:rPr>
            </w:pPr>
            <w:r>
              <w:rPr>
                <w:b/>
                <w:i/>
              </w:rPr>
              <w:t>U</w:t>
            </w:r>
          </w:p>
        </w:tc>
        <w:tc>
          <w:tcPr>
            <w:tcW w:w="919" w:type="dxa"/>
            <w:shd w:val="clear" w:color="auto" w:fill="FFFFFF"/>
            <w:vAlign w:val="center"/>
          </w:tcPr>
          <w:p>
            <w:pPr>
              <w:pStyle w:val="3"/>
              <w:jc w:val="right"/>
              <w:rPr>
                <w:b/>
                <w:sz w:val="20"/>
                <w:szCs w:val="20"/>
              </w:rPr>
            </w:pPr>
          </w:p>
        </w:tc>
        <w:tc>
          <w:tcPr>
            <w:tcW w:w="922" w:type="dxa"/>
            <w:shd w:val="clear" w:color="auto" w:fill="FFFFFF"/>
          </w:tcPr>
          <w:p>
            <w:pPr>
              <w:pStyle w:val="3"/>
              <w:jc w:val="right"/>
              <w:rPr>
                <w:b/>
                <w:sz w:val="20"/>
                <w:szCs w:val="20"/>
              </w:rPr>
            </w:pPr>
          </w:p>
        </w:tc>
        <w:tc>
          <w:tcPr>
            <w:tcW w:w="1073" w:type="dxa"/>
            <w:shd w:val="clear" w:color="auto" w:fill="FFFFFF"/>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right"/>
              <w:rPr>
                <w:b/>
                <w:sz w:val="20"/>
                <w:szCs w:val="20"/>
              </w:rPr>
            </w:pPr>
            <w:r>
              <w:rPr>
                <w:b/>
              </w:rPr>
              <w:t>Sous-total 13</w:t>
            </w:r>
          </w:p>
        </w:tc>
        <w:tc>
          <w:tcPr>
            <w:tcW w:w="1073" w:type="dxa"/>
            <w:shd w:val="clear" w:color="auto" w:fill="ED7D31"/>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right"/>
              <w:rPr>
                <w:b/>
                <w:sz w:val="20"/>
                <w:szCs w:val="20"/>
              </w:rPr>
            </w:pPr>
            <w:r>
              <w:rPr>
                <w:b/>
              </w:rPr>
              <w:t>TOTAL HT</w:t>
            </w:r>
          </w:p>
        </w:tc>
        <w:tc>
          <w:tcPr>
            <w:tcW w:w="1073" w:type="dxa"/>
            <w:shd w:val="clear" w:color="auto" w:fill="ED7D31"/>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right"/>
              <w:rPr>
                <w:b/>
                <w:sz w:val="20"/>
                <w:szCs w:val="20"/>
              </w:rPr>
            </w:pPr>
            <w:r>
              <w:rPr>
                <w:b/>
              </w:rPr>
              <w:t>TVA</w:t>
            </w:r>
          </w:p>
        </w:tc>
        <w:tc>
          <w:tcPr>
            <w:tcW w:w="1073" w:type="dxa"/>
            <w:shd w:val="clear" w:color="auto" w:fill="ED7D31"/>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right"/>
              <w:rPr>
                <w:b/>
                <w:sz w:val="20"/>
                <w:szCs w:val="20"/>
              </w:rPr>
            </w:pPr>
            <w:r>
              <w:rPr>
                <w:b/>
              </w:rPr>
              <w:t>IR</w:t>
            </w:r>
          </w:p>
        </w:tc>
        <w:tc>
          <w:tcPr>
            <w:tcW w:w="1073" w:type="dxa"/>
            <w:shd w:val="clear" w:color="auto" w:fill="ED7D31"/>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right"/>
              <w:rPr>
                <w:b/>
                <w:sz w:val="20"/>
                <w:szCs w:val="20"/>
              </w:rPr>
            </w:pPr>
            <w:r>
              <w:rPr>
                <w:b/>
              </w:rPr>
              <w:t>NET A PERCEVOIR</w:t>
            </w:r>
          </w:p>
        </w:tc>
        <w:tc>
          <w:tcPr>
            <w:tcW w:w="1073" w:type="dxa"/>
            <w:shd w:val="clear" w:color="auto" w:fill="ED7D31"/>
          </w:tcPr>
          <w:p>
            <w:pPr>
              <w:pStyle w:val="3"/>
              <w:jc w:val="right"/>
              <w:rPr>
                <w:b/>
                <w:sz w:val="20"/>
                <w:szCs w:val="20"/>
              </w:rPr>
            </w:pPr>
          </w:p>
        </w:tc>
      </w:tr>
      <w:tr>
        <w:tblPrEx>
          <w:tblLayout w:type="fixed"/>
        </w:tblPrEx>
        <w:trPr>
          <w:cantSplit/>
          <w:trHeight w:val="300" w:hRule="atLeast"/>
          <w:tblHeader/>
        </w:trPr>
        <w:tc>
          <w:tcPr>
            <w:tcW w:w="8430" w:type="dxa"/>
            <w:gridSpan w:val="5"/>
            <w:shd w:val="clear" w:color="auto" w:fill="ED7D31"/>
            <w:vAlign w:val="center"/>
          </w:tcPr>
          <w:p>
            <w:pPr>
              <w:pStyle w:val="3"/>
              <w:jc w:val="right"/>
              <w:rPr>
                <w:b/>
                <w:sz w:val="20"/>
                <w:szCs w:val="20"/>
              </w:rPr>
            </w:pPr>
            <w:r>
              <w:rPr>
                <w:b/>
              </w:rPr>
              <w:t>TTC</w:t>
            </w:r>
          </w:p>
        </w:tc>
        <w:tc>
          <w:tcPr>
            <w:tcW w:w="1073" w:type="dxa"/>
            <w:shd w:val="clear" w:color="auto" w:fill="ED7D31"/>
          </w:tcPr>
          <w:p>
            <w:pPr>
              <w:pStyle w:val="3"/>
              <w:jc w:val="right"/>
              <w:rPr>
                <w:b/>
                <w:sz w:val="20"/>
                <w:szCs w:val="20"/>
              </w:rPr>
            </w:pPr>
          </w:p>
        </w:tc>
      </w:tr>
    </w:tbl>
    <w:p>
      <w:pPr>
        <w:pStyle w:val="3"/>
        <w:widowControl w:val="0"/>
        <w:tabs>
          <w:tab w:val="left" w:pos="10760"/>
        </w:tabs>
        <w:spacing w:line="360" w:lineRule="auto"/>
        <w:jc w:val="both"/>
        <w:rPr>
          <w:b/>
          <w:i/>
          <w:smallCaps/>
        </w:rPr>
      </w:pPr>
      <w:r>
        <w:t>Arrêté le présent détail quantitatif et estimatif à la somme de : (en lettre) ………………</w:t>
      </w:r>
      <w:r>
        <w:rPr>
          <w:b/>
        </w:rPr>
        <w:t>FCFA TTC</w:t>
      </w:r>
    </w:p>
    <w:p>
      <w:pPr>
        <w:pStyle w:val="3"/>
        <w:widowControl w:val="0"/>
        <w:spacing w:line="360" w:lineRule="auto"/>
        <w:jc w:val="both"/>
        <w:rPr>
          <w:b/>
          <w:i/>
          <w:smallCaps/>
        </w:rPr>
      </w:pPr>
      <w:r>
        <w:t xml:space="preserve">                                                                                     Date et Signature</w:t>
      </w:r>
    </w:p>
    <w:p>
      <w:pPr>
        <w:pStyle w:val="3"/>
        <w:rPr>
          <w:b/>
          <w:smallCaps/>
          <w:color w:val="FF0000"/>
          <w:sz w:val="32"/>
          <w:szCs w:val="32"/>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rPr>
          <w:b/>
          <w:i/>
          <w:smallCaps/>
        </w:rPr>
      </w:pPr>
      <w:r>
        <w:br w:type="textWrapping"/>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240" w:after="240" w:line="360" w:lineRule="auto"/>
        <w:ind w:left="851"/>
        <w:jc w:val="center"/>
        <w:rPr>
          <w:b/>
          <w:smallCaps/>
          <w:sz w:val="36"/>
          <w:szCs w:val="36"/>
        </w:rPr>
      </w:pPr>
      <w:bookmarkStart w:id="186" w:name="_32rsoto" w:colFirst="0" w:colLast="0"/>
      <w:bookmarkEnd w:id="186"/>
      <w:r>
        <w:rPr>
          <w:b/>
          <w:smallCaps/>
          <w:sz w:val="36"/>
          <w:szCs w:val="36"/>
        </w:rPr>
        <w:t xml:space="preserve">PIECE N°8 </w:t>
      </w:r>
    </w:p>
    <w:p>
      <w:pPr>
        <w:pStyle w:val="3"/>
        <w:widowControl w:val="0"/>
        <w:ind w:left="851" w:firstLine="1"/>
        <w:jc w:val="center"/>
        <w:rPr>
          <w:b/>
          <w:smallCaps/>
          <w:color w:val="000000"/>
          <w:sz w:val="36"/>
          <w:szCs w:val="36"/>
        </w:rPr>
      </w:pPr>
      <w:r>
        <w:rPr>
          <w:b/>
          <w:smallCaps/>
          <w:color w:val="000000"/>
          <w:sz w:val="36"/>
          <w:szCs w:val="36"/>
        </w:rPr>
        <w:t>CADRE DU SOUS-DÉTAIL DES PRIX</w:t>
      </w:r>
    </w:p>
    <w:p>
      <w:pPr>
        <w:pStyle w:val="3"/>
        <w:widowControl w:val="0"/>
        <w:spacing w:line="360" w:lineRule="auto"/>
        <w:jc w:val="both"/>
        <w:rPr>
          <w:sz w:val="20"/>
          <w:szCs w:val="20"/>
        </w:rPr>
      </w:pPr>
    </w:p>
    <w:p>
      <w:pPr>
        <w:pStyle w:val="4"/>
        <w:spacing w:before="0" w:after="0"/>
        <w:rPr>
          <w:rFonts w:ascii="Times New Roman" w:hAnsi="Times New Roman" w:eastAsia="Times New Roman" w:cs="Times New Roman"/>
          <w:sz w:val="32"/>
          <w:szCs w:val="32"/>
        </w:rPr>
      </w:pPr>
      <w:r>
        <w:rPr>
          <w:rFonts w:ascii="Times New Roman" w:hAnsi="Times New Roman" w:eastAsia="Times New Roman" w:cs="Times New Roman"/>
          <w:b w:val="0"/>
          <w:sz w:val="32"/>
          <w:szCs w:val="32"/>
        </w:rPr>
        <w:br w:type="textWrapping"/>
      </w:r>
    </w:p>
    <w:p>
      <w:pPr>
        <w:pStyle w:val="3"/>
      </w:pPr>
      <w:bookmarkStart w:id="187" w:name="_1hx2z1h" w:colFirst="0" w:colLast="0"/>
      <w:bookmarkEnd w:id="187"/>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sz w:val="20"/>
          <w:szCs w:val="20"/>
        </w:rPr>
      </w:pPr>
      <w:r>
        <w:br w:type="textWrapping"/>
      </w:r>
    </w:p>
    <w:p>
      <w:pPr>
        <w:pStyle w:val="3"/>
        <w:widowControl w:val="0"/>
        <w:spacing w:line="360" w:lineRule="auto"/>
        <w:jc w:val="center"/>
        <w:rPr>
          <w:b/>
          <w:smallCaps/>
          <w:color w:val="000000"/>
          <w:sz w:val="32"/>
          <w:szCs w:val="32"/>
        </w:rPr>
      </w:pPr>
      <w:bookmarkStart w:id="188" w:name="_41wqhpa" w:colFirst="0" w:colLast="0"/>
      <w:bookmarkEnd w:id="188"/>
      <w:r>
        <w:rPr>
          <w:b/>
          <w:smallCaps/>
          <w:color w:val="000000"/>
          <w:sz w:val="32"/>
          <w:szCs w:val="32"/>
        </w:rPr>
        <w:t>SOUS-DÉTAIL DES PRIX</w:t>
      </w:r>
    </w:p>
    <w:tbl>
      <w:tblPr>
        <w:tblStyle w:val="36"/>
        <w:tblW w:w="10315" w:type="dxa"/>
        <w:tblInd w:w="0" w:type="dxa"/>
        <w:tblLayout w:type="fixed"/>
        <w:tblCellMar>
          <w:top w:w="0" w:type="dxa"/>
          <w:left w:w="70" w:type="dxa"/>
          <w:bottom w:w="0" w:type="dxa"/>
          <w:right w:w="70" w:type="dxa"/>
        </w:tblCellMar>
      </w:tblPr>
      <w:tblGrid>
        <w:gridCol w:w="907"/>
        <w:gridCol w:w="3322"/>
        <w:gridCol w:w="201"/>
        <w:gridCol w:w="1498"/>
        <w:gridCol w:w="1834"/>
        <w:gridCol w:w="2553"/>
      </w:tblGrid>
      <w:tr>
        <w:tblPrEx>
          <w:tblLayout w:type="fixed"/>
        </w:tblPrEx>
        <w:trPr>
          <w:cantSplit/>
          <w:trHeight w:val="315" w:hRule="atLeast"/>
          <w:tblHeader/>
        </w:trPr>
        <w:tc>
          <w:tcPr>
            <w:tcW w:w="10315" w:type="dxa"/>
            <w:gridSpan w:val="6"/>
            <w:tcBorders>
              <w:top w:val="nil"/>
              <w:left w:val="nil"/>
              <w:bottom w:val="single" w:color="000000" w:sz="8" w:space="0"/>
              <w:right w:val="nil"/>
            </w:tcBorders>
            <w:shd w:val="clear" w:color="auto" w:fill="auto"/>
            <w:vAlign w:val="bottom"/>
          </w:tcPr>
          <w:p>
            <w:pPr>
              <w:pStyle w:val="3"/>
              <w:spacing w:line="360" w:lineRule="auto"/>
              <w:jc w:val="center"/>
              <w:rPr>
                <w:b/>
                <w:sz w:val="22"/>
                <w:szCs w:val="22"/>
              </w:rPr>
            </w:pPr>
            <w:r>
              <w:rPr>
                <w:b/>
                <w:sz w:val="22"/>
                <w:szCs w:val="22"/>
              </w:rPr>
              <w:t>CADRE DU SOUS-DETAIL DES PRIX</w:t>
            </w:r>
          </w:p>
        </w:tc>
      </w:tr>
      <w:tr>
        <w:tblPrEx>
          <w:tblLayout w:type="fixed"/>
        </w:tblPrEx>
        <w:trPr>
          <w:cantSplit/>
          <w:trHeight w:val="315" w:hRule="atLeast"/>
          <w:tblHeader/>
        </w:trPr>
        <w:tc>
          <w:tcPr>
            <w:tcW w:w="907" w:type="dxa"/>
            <w:tcBorders>
              <w:top w:val="nil"/>
              <w:left w:val="single" w:color="000000" w:sz="8" w:space="0"/>
              <w:bottom w:val="single" w:color="000000" w:sz="8" w:space="0"/>
              <w:right w:val="nil"/>
            </w:tcBorders>
            <w:shd w:val="clear" w:color="auto" w:fill="auto"/>
            <w:vAlign w:val="bottom"/>
          </w:tcPr>
          <w:p>
            <w:pPr>
              <w:pStyle w:val="3"/>
              <w:spacing w:line="360" w:lineRule="auto"/>
              <w:rPr>
                <w:sz w:val="22"/>
                <w:szCs w:val="22"/>
              </w:rPr>
            </w:pPr>
            <w:r>
              <w:rPr>
                <w:sz w:val="22"/>
                <w:szCs w:val="22"/>
              </w:rPr>
              <w:t> </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DESIGNATION</w:t>
            </w:r>
          </w:p>
        </w:tc>
        <w:tc>
          <w:tcPr>
            <w:tcW w:w="6086" w:type="dxa"/>
            <w:gridSpan w:val="4"/>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b/>
                <w:i/>
                <w:sz w:val="22"/>
                <w:szCs w:val="22"/>
              </w:rPr>
            </w:pPr>
            <w:r>
              <w:rPr>
                <w:b/>
                <w:i/>
                <w:sz w:val="22"/>
                <w:szCs w:val="22"/>
              </w:rPr>
              <w:t>Remblai des fouilles</w:t>
            </w: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N° prix</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b/>
                <w:sz w:val="22"/>
                <w:szCs w:val="22"/>
              </w:rPr>
            </w:pPr>
            <w:r>
              <w:rPr>
                <w:b/>
                <w:sz w:val="22"/>
                <w:szCs w:val="22"/>
              </w:rPr>
              <w:t>Rendement journalier</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Quantité totale</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Unité</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Durée activité (jours)</w:t>
            </w:r>
          </w:p>
        </w:tc>
      </w:tr>
      <w:tr>
        <w:tblPrEx>
          <w:tblLayout w:type="fixed"/>
        </w:tblPrEx>
        <w:trPr>
          <w:cantSplit/>
          <w:trHeight w:val="37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1.5</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m</w:t>
            </w:r>
            <w:r>
              <w:rPr>
                <w:sz w:val="22"/>
                <w:szCs w:val="22"/>
                <w:vertAlign w:val="superscript"/>
              </w:rPr>
              <w:t>3</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1,0</w:t>
            </w: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 </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CATEGORIE</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Salaire journalier</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jours facturés</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Montant</w:t>
            </w:r>
          </w:p>
        </w:tc>
      </w:tr>
      <w:tr>
        <w:tblPrEx>
          <w:tblLayout w:type="fixed"/>
        </w:tblPrEx>
        <w:trPr>
          <w:cantSplit/>
          <w:trHeight w:val="315" w:hRule="atLeast"/>
          <w:tblHeader/>
        </w:trPr>
        <w:tc>
          <w:tcPr>
            <w:tcW w:w="907" w:type="dxa"/>
            <w:vMerge w:val="restart"/>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MAIN D'OEUVRE</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rPr>
                <w:b/>
                <w:sz w:val="22"/>
                <w:szCs w:val="22"/>
              </w:rPr>
            </w:pPr>
            <w:r>
              <w:rPr>
                <w:b/>
                <w:sz w:val="22"/>
                <w:szCs w:val="22"/>
              </w:rPr>
              <w:t>TOTAL  A</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 </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TYPE</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Taux journalier</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Jours facturés</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Montant</w:t>
            </w:r>
          </w:p>
        </w:tc>
      </w:tr>
      <w:tr>
        <w:tblPrEx>
          <w:tblLayout w:type="fixed"/>
        </w:tblPrEx>
        <w:trPr>
          <w:cantSplit/>
          <w:trHeight w:val="315" w:hRule="atLeast"/>
          <w:tblHeader/>
        </w:trPr>
        <w:tc>
          <w:tcPr>
            <w:tcW w:w="907" w:type="dxa"/>
            <w:vMerge w:val="restart"/>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MATERIEL ET ENGINS</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nil"/>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rPr>
                <w:b/>
                <w:sz w:val="22"/>
                <w:szCs w:val="22"/>
              </w:rPr>
            </w:pPr>
            <w:r>
              <w:rPr>
                <w:b/>
                <w:sz w:val="22"/>
                <w:szCs w:val="22"/>
              </w:rPr>
              <w:t>TOTAL B</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p>
        </w:tc>
      </w:tr>
      <w:tr>
        <w:tblPrEx>
          <w:tblLayout w:type="fixed"/>
        </w:tblPrEx>
        <w:trPr>
          <w:cantSplit/>
          <w:trHeight w:val="315" w:hRule="atLeast"/>
          <w:tblHeader/>
        </w:trPr>
        <w:tc>
          <w:tcPr>
            <w:tcW w:w="907" w:type="dxa"/>
            <w:tcBorders>
              <w:top w:val="single" w:color="000000" w:sz="8" w:space="0"/>
              <w:left w:val="single" w:color="000000" w:sz="8" w:space="0"/>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TYPE</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Prix unitaire</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Consommation</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r>
              <w:rPr>
                <w:b/>
                <w:sz w:val="22"/>
                <w:szCs w:val="22"/>
              </w:rPr>
              <w:t>Montant</w:t>
            </w:r>
          </w:p>
        </w:tc>
      </w:tr>
      <w:tr>
        <w:tblPrEx>
          <w:tblLayout w:type="fixed"/>
        </w:tblPrEx>
        <w:trPr>
          <w:cantSplit/>
          <w:trHeight w:val="315" w:hRule="atLeast"/>
          <w:tblHeader/>
        </w:trPr>
        <w:tc>
          <w:tcPr>
            <w:tcW w:w="907" w:type="dxa"/>
            <w:vMerge w:val="restart"/>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MATERIAUX</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vMerge w:val="continue"/>
            <w:tcBorders>
              <w:top w:val="nil"/>
              <w:left w:val="single" w:color="000000" w:sz="8" w:space="0"/>
              <w:bottom w:val="single" w:color="000000" w:sz="8" w:space="0"/>
              <w:right w:val="single" w:color="000000" w:sz="8" w:space="0"/>
            </w:tcBorders>
            <w:shd w:val="clear" w:color="auto" w:fill="auto"/>
            <w:vAlign w:val="bottom"/>
          </w:tcPr>
          <w:p>
            <w:pPr>
              <w:pStyle w:val="3"/>
              <w:widowControl w:val="0"/>
              <w:spacing w:line="276" w:lineRule="auto"/>
              <w:rPr>
                <w:sz w:val="22"/>
                <w:szCs w:val="22"/>
              </w:rPr>
            </w:pP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p>
        </w:tc>
        <w:tc>
          <w:tcPr>
            <w:tcW w:w="201" w:type="dxa"/>
            <w:tcBorders>
              <w:top w:val="nil"/>
              <w:left w:val="nil"/>
              <w:bottom w:val="nil"/>
              <w:right w:val="nil"/>
            </w:tcBorders>
            <w:shd w:val="clear" w:color="auto" w:fill="auto"/>
            <w:vAlign w:val="bottom"/>
          </w:tcPr>
          <w:p>
            <w:pPr>
              <w:pStyle w:val="3"/>
              <w:spacing w:line="360" w:lineRule="auto"/>
              <w:rPr>
                <w:sz w:val="22"/>
                <w:szCs w:val="22"/>
              </w:rPr>
            </w:pPr>
          </w:p>
        </w:tc>
        <w:tc>
          <w:tcPr>
            <w:tcW w:w="1498" w:type="dxa"/>
            <w:tcBorders>
              <w:top w:val="nil"/>
              <w:left w:val="nil"/>
              <w:bottom w:val="nil"/>
              <w:right w:val="nil"/>
            </w:tcBorders>
            <w:shd w:val="clear" w:color="auto" w:fill="auto"/>
            <w:vAlign w:val="bottom"/>
          </w:tcPr>
          <w:p>
            <w:pPr>
              <w:pStyle w:val="3"/>
              <w:spacing w:line="360" w:lineRule="auto"/>
              <w:rPr>
                <w:sz w:val="22"/>
                <w:szCs w:val="22"/>
              </w:rPr>
            </w:pP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699" w:type="dxa"/>
            <w:gridSpan w:val="2"/>
            <w:tcBorders>
              <w:top w:val="single" w:color="000000" w:sz="8" w:space="0"/>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rPr>
                <w:b/>
                <w:sz w:val="22"/>
                <w:szCs w:val="22"/>
              </w:rPr>
            </w:pPr>
            <w:r>
              <w:rPr>
                <w:b/>
                <w:sz w:val="22"/>
                <w:szCs w:val="22"/>
              </w:rPr>
              <w:t>TOTAL C</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p>
        </w:tc>
      </w:tr>
      <w:tr>
        <w:tblPrEx>
          <w:tblLayout w:type="fixed"/>
        </w:tblPrEx>
        <w:trPr>
          <w:cantSplit/>
          <w:trHeight w:val="390"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D</w:t>
            </w:r>
          </w:p>
        </w:tc>
        <w:tc>
          <w:tcPr>
            <w:tcW w:w="3322" w:type="dxa"/>
            <w:tcBorders>
              <w:top w:val="nil"/>
              <w:left w:val="nil"/>
              <w:bottom w:val="single" w:color="000000" w:sz="8" w:space="0"/>
              <w:right w:val="single" w:color="000000" w:sz="8" w:space="0"/>
            </w:tcBorders>
            <w:shd w:val="clear" w:color="auto" w:fill="auto"/>
            <w:vAlign w:val="bottom"/>
          </w:tcPr>
          <w:p>
            <w:pPr>
              <w:pStyle w:val="3"/>
              <w:spacing w:line="360" w:lineRule="auto"/>
              <w:rPr>
                <w:b/>
                <w:sz w:val="22"/>
                <w:szCs w:val="22"/>
              </w:rPr>
            </w:pPr>
            <w:r>
              <w:rPr>
                <w:b/>
                <w:sz w:val="22"/>
                <w:szCs w:val="22"/>
              </w:rPr>
              <w:t>TOTAL COUTS DIRECTS</w:t>
            </w:r>
          </w:p>
        </w:tc>
        <w:tc>
          <w:tcPr>
            <w:tcW w:w="201" w:type="dxa"/>
            <w:tcBorders>
              <w:top w:val="nil"/>
              <w:left w:val="nil"/>
              <w:bottom w:val="single" w:color="000000" w:sz="8" w:space="0"/>
              <w:right w:val="nil"/>
            </w:tcBorders>
            <w:shd w:val="clear" w:color="auto" w:fill="auto"/>
            <w:vAlign w:val="bottom"/>
          </w:tcPr>
          <w:p>
            <w:pPr>
              <w:pStyle w:val="3"/>
              <w:spacing w:line="360" w:lineRule="auto"/>
              <w:rPr>
                <w:sz w:val="22"/>
                <w:szCs w:val="22"/>
              </w:rPr>
            </w:pPr>
            <w:r>
              <w:rPr>
                <w:sz w:val="22"/>
                <w:szCs w:val="22"/>
              </w:rPr>
              <w:t> </w:t>
            </w:r>
          </w:p>
        </w:tc>
        <w:tc>
          <w:tcPr>
            <w:tcW w:w="1498" w:type="dxa"/>
            <w:tcBorders>
              <w:top w:val="nil"/>
              <w:left w:val="nil"/>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1834"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8"/>
                <w:szCs w:val="28"/>
              </w:rPr>
            </w:pPr>
            <w:r>
              <w:rPr>
                <w:b/>
                <w:sz w:val="28"/>
                <w:szCs w:val="28"/>
              </w:rPr>
              <w:t>A+B+C</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8"/>
                <w:szCs w:val="28"/>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E</w:t>
            </w:r>
          </w:p>
        </w:tc>
        <w:tc>
          <w:tcPr>
            <w:tcW w:w="5021" w:type="dxa"/>
            <w:gridSpan w:val="3"/>
            <w:tcBorders>
              <w:top w:val="single" w:color="000000" w:sz="8" w:space="0"/>
              <w:left w:val="nil"/>
              <w:bottom w:val="single" w:color="000000" w:sz="8" w:space="0"/>
              <w:right w:val="nil"/>
            </w:tcBorders>
            <w:shd w:val="clear" w:color="auto" w:fill="auto"/>
            <w:vAlign w:val="bottom"/>
          </w:tcPr>
          <w:p>
            <w:pPr>
              <w:pStyle w:val="3"/>
              <w:spacing w:line="360" w:lineRule="auto"/>
              <w:rPr>
                <w:sz w:val="22"/>
                <w:szCs w:val="22"/>
              </w:rPr>
            </w:pPr>
            <w:r>
              <w:rPr>
                <w:sz w:val="22"/>
                <w:szCs w:val="22"/>
              </w:rPr>
              <w:t>Frais généraux de chantier (X%*D)</w:t>
            </w: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F</w:t>
            </w:r>
          </w:p>
        </w:tc>
        <w:tc>
          <w:tcPr>
            <w:tcW w:w="5021" w:type="dxa"/>
            <w:gridSpan w:val="3"/>
            <w:tcBorders>
              <w:top w:val="single" w:color="000000" w:sz="8" w:space="0"/>
              <w:left w:val="nil"/>
              <w:bottom w:val="single" w:color="000000" w:sz="8" w:space="0"/>
              <w:right w:val="nil"/>
            </w:tcBorders>
            <w:shd w:val="clear" w:color="auto" w:fill="auto"/>
            <w:vAlign w:val="bottom"/>
          </w:tcPr>
          <w:p>
            <w:pPr>
              <w:pStyle w:val="3"/>
              <w:spacing w:line="360" w:lineRule="auto"/>
              <w:rPr>
                <w:sz w:val="22"/>
                <w:szCs w:val="22"/>
              </w:rPr>
            </w:pPr>
            <w:r>
              <w:rPr>
                <w:sz w:val="22"/>
                <w:szCs w:val="22"/>
              </w:rPr>
              <w:t>Frais généraux de siège (Y%*D)</w:t>
            </w: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 </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G</w:t>
            </w:r>
          </w:p>
        </w:tc>
        <w:tc>
          <w:tcPr>
            <w:tcW w:w="5021" w:type="dxa"/>
            <w:gridSpan w:val="3"/>
            <w:tcBorders>
              <w:top w:val="single" w:color="000000" w:sz="8" w:space="0"/>
              <w:left w:val="nil"/>
              <w:bottom w:val="single" w:color="000000" w:sz="8" w:space="0"/>
              <w:right w:val="nil"/>
            </w:tcBorders>
            <w:shd w:val="clear" w:color="auto" w:fill="auto"/>
            <w:vAlign w:val="bottom"/>
          </w:tcPr>
          <w:p>
            <w:pPr>
              <w:pStyle w:val="3"/>
              <w:spacing w:line="360" w:lineRule="auto"/>
              <w:rPr>
                <w:sz w:val="22"/>
                <w:szCs w:val="22"/>
              </w:rPr>
            </w:pPr>
            <w:r>
              <w:rPr>
                <w:sz w:val="22"/>
                <w:szCs w:val="22"/>
              </w:rPr>
              <w:t>Coût de revient</w:t>
            </w: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D+E+F</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H</w:t>
            </w:r>
          </w:p>
        </w:tc>
        <w:tc>
          <w:tcPr>
            <w:tcW w:w="5021" w:type="dxa"/>
            <w:gridSpan w:val="3"/>
            <w:tcBorders>
              <w:top w:val="single" w:color="000000" w:sz="8" w:space="0"/>
              <w:left w:val="nil"/>
              <w:bottom w:val="single" w:color="000000" w:sz="8" w:space="0"/>
              <w:right w:val="nil"/>
            </w:tcBorders>
            <w:shd w:val="clear" w:color="auto" w:fill="auto"/>
            <w:vAlign w:val="bottom"/>
          </w:tcPr>
          <w:p>
            <w:pPr>
              <w:pStyle w:val="3"/>
              <w:spacing w:line="360" w:lineRule="auto"/>
              <w:rPr>
                <w:sz w:val="22"/>
                <w:szCs w:val="22"/>
              </w:rPr>
            </w:pPr>
            <w:r>
              <w:rPr>
                <w:sz w:val="22"/>
                <w:szCs w:val="22"/>
              </w:rPr>
              <w:t>Risque + Bénéfice (Z%*G)</w:t>
            </w: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rPr>
                <w:sz w:val="22"/>
                <w:szCs w:val="22"/>
              </w:rPr>
            </w:pPr>
            <w:r>
              <w:rPr>
                <w:sz w:val="22"/>
                <w:szCs w:val="22"/>
              </w:rPr>
              <w:t> </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I</w:t>
            </w:r>
          </w:p>
        </w:tc>
        <w:tc>
          <w:tcPr>
            <w:tcW w:w="5021" w:type="dxa"/>
            <w:gridSpan w:val="3"/>
            <w:tcBorders>
              <w:top w:val="single" w:color="000000" w:sz="8" w:space="0"/>
              <w:left w:val="nil"/>
              <w:bottom w:val="single" w:color="000000" w:sz="8" w:space="0"/>
              <w:right w:val="nil"/>
            </w:tcBorders>
            <w:shd w:val="clear" w:color="auto" w:fill="auto"/>
            <w:vAlign w:val="bottom"/>
          </w:tcPr>
          <w:p>
            <w:pPr>
              <w:pStyle w:val="3"/>
              <w:spacing w:line="360" w:lineRule="auto"/>
              <w:rPr>
                <w:sz w:val="22"/>
                <w:szCs w:val="22"/>
              </w:rPr>
            </w:pPr>
            <w:r>
              <w:rPr>
                <w:sz w:val="22"/>
                <w:szCs w:val="22"/>
              </w:rPr>
              <w:t>PRIX DE VENTE TOTAL HORS TAXES</w:t>
            </w: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G+H</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sz w:val="22"/>
                <w:szCs w:val="22"/>
              </w:rPr>
            </w:pPr>
          </w:p>
        </w:tc>
      </w:tr>
      <w:tr>
        <w:tblPrEx>
          <w:tblLayout w:type="fixed"/>
        </w:tblPrEx>
        <w:trPr>
          <w:cantSplit/>
          <w:trHeight w:val="315" w:hRule="atLeast"/>
          <w:tblHeader/>
        </w:trPr>
        <w:tc>
          <w:tcPr>
            <w:tcW w:w="907"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J</w:t>
            </w:r>
          </w:p>
        </w:tc>
        <w:tc>
          <w:tcPr>
            <w:tcW w:w="5021" w:type="dxa"/>
            <w:gridSpan w:val="3"/>
            <w:tcBorders>
              <w:top w:val="single" w:color="000000" w:sz="8" w:space="0"/>
              <w:left w:val="nil"/>
              <w:bottom w:val="single" w:color="000000" w:sz="8" w:space="0"/>
              <w:right w:val="nil"/>
            </w:tcBorders>
            <w:shd w:val="clear" w:color="auto" w:fill="auto"/>
            <w:vAlign w:val="bottom"/>
          </w:tcPr>
          <w:p>
            <w:pPr>
              <w:pStyle w:val="3"/>
              <w:spacing w:line="360" w:lineRule="auto"/>
              <w:rPr>
                <w:sz w:val="22"/>
                <w:szCs w:val="22"/>
              </w:rPr>
            </w:pPr>
            <w:r>
              <w:rPr>
                <w:sz w:val="22"/>
                <w:szCs w:val="22"/>
              </w:rPr>
              <w:t>PRIX DE VENTE UNITAIRE HORS TAXES</w:t>
            </w:r>
          </w:p>
        </w:tc>
        <w:tc>
          <w:tcPr>
            <w:tcW w:w="1834" w:type="dxa"/>
            <w:tcBorders>
              <w:top w:val="nil"/>
              <w:left w:val="single" w:color="000000" w:sz="8" w:space="0"/>
              <w:bottom w:val="single" w:color="000000" w:sz="8" w:space="0"/>
              <w:right w:val="single" w:color="000000" w:sz="8" w:space="0"/>
            </w:tcBorders>
            <w:shd w:val="clear" w:color="auto" w:fill="auto"/>
            <w:vAlign w:val="bottom"/>
          </w:tcPr>
          <w:p>
            <w:pPr>
              <w:pStyle w:val="3"/>
              <w:spacing w:line="360" w:lineRule="auto"/>
              <w:jc w:val="center"/>
              <w:rPr>
                <w:sz w:val="22"/>
                <w:szCs w:val="22"/>
              </w:rPr>
            </w:pPr>
            <w:r>
              <w:rPr>
                <w:sz w:val="22"/>
                <w:szCs w:val="22"/>
              </w:rPr>
              <w:t>I/Qté</w:t>
            </w:r>
          </w:p>
        </w:tc>
        <w:tc>
          <w:tcPr>
            <w:tcW w:w="2553" w:type="dxa"/>
            <w:tcBorders>
              <w:top w:val="nil"/>
              <w:left w:val="nil"/>
              <w:bottom w:val="single" w:color="000000" w:sz="8" w:space="0"/>
              <w:right w:val="single" w:color="000000" w:sz="8" w:space="0"/>
            </w:tcBorders>
            <w:shd w:val="clear" w:color="auto" w:fill="auto"/>
            <w:vAlign w:val="bottom"/>
          </w:tcPr>
          <w:p>
            <w:pPr>
              <w:pStyle w:val="3"/>
              <w:spacing w:line="360" w:lineRule="auto"/>
              <w:jc w:val="center"/>
              <w:rPr>
                <w:b/>
                <w:sz w:val="22"/>
                <w:szCs w:val="22"/>
              </w:rPr>
            </w:pPr>
          </w:p>
        </w:tc>
      </w:tr>
    </w:tbl>
    <w:p>
      <w:pPr>
        <w:pStyle w:val="3"/>
        <w:widowControl w:val="0"/>
        <w:spacing w:line="360" w:lineRule="auto"/>
        <w:jc w:val="both"/>
        <w:rPr>
          <w:b/>
          <w:i/>
          <w:smallCaps/>
        </w:rPr>
      </w:pPr>
    </w:p>
    <w:p>
      <w:pPr>
        <w:pStyle w:val="3"/>
        <w:rPr>
          <w:b/>
          <w:i/>
          <w:smallCaps/>
        </w:rPr>
      </w:pPr>
      <w:r>
        <w:br w:type="textWrapping"/>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240" w:after="240" w:line="360" w:lineRule="auto"/>
        <w:ind w:left="851"/>
        <w:jc w:val="center"/>
        <w:rPr>
          <w:b/>
          <w:smallCaps/>
          <w:sz w:val="36"/>
          <w:szCs w:val="36"/>
        </w:rPr>
      </w:pPr>
      <w:bookmarkStart w:id="189" w:name="_2h20rx3" w:colFirst="0" w:colLast="0"/>
      <w:bookmarkEnd w:id="189"/>
      <w:r>
        <w:rPr>
          <w:b/>
          <w:smallCaps/>
          <w:sz w:val="36"/>
          <w:szCs w:val="36"/>
        </w:rPr>
        <w:t xml:space="preserve">PIECE N°9 </w:t>
      </w:r>
    </w:p>
    <w:p>
      <w:pPr>
        <w:pStyle w:val="3"/>
        <w:widowControl w:val="0"/>
        <w:ind w:left="851" w:firstLine="1"/>
        <w:jc w:val="center"/>
        <w:rPr>
          <w:b/>
          <w:smallCaps/>
          <w:color w:val="000000"/>
          <w:sz w:val="36"/>
          <w:szCs w:val="36"/>
        </w:rPr>
      </w:pPr>
      <w:r>
        <w:rPr>
          <w:b/>
          <w:smallCaps/>
          <w:color w:val="000000"/>
          <w:sz w:val="36"/>
          <w:szCs w:val="36"/>
        </w:rPr>
        <w:t>MODÈLE DE MARCHÉ</w:t>
      </w:r>
    </w:p>
    <w:p>
      <w:pPr>
        <w:pStyle w:val="3"/>
        <w:widowControl w:val="0"/>
        <w:spacing w:line="360" w:lineRule="auto"/>
        <w:jc w:val="both"/>
        <w:rPr>
          <w:sz w:val="20"/>
          <w:szCs w:val="20"/>
        </w:rPr>
      </w:pPr>
    </w:p>
    <w:p>
      <w:pPr>
        <w:pStyle w:val="3"/>
        <w:rPr>
          <w:sz w:val="20"/>
          <w:szCs w:val="20"/>
        </w:rPr>
      </w:pPr>
      <w:r>
        <w:br w:type="textWrapping"/>
      </w:r>
    </w:p>
    <w:p>
      <w:pPr>
        <w:pStyle w:val="3"/>
        <w:pageBreakBefore/>
        <w:widowControl w:val="0"/>
        <w:tabs>
          <w:tab w:val="left" w:pos="5954"/>
        </w:tabs>
        <w:spacing w:line="360" w:lineRule="auto"/>
        <w:jc w:val="both"/>
        <w:rPr>
          <w:sz w:val="20"/>
          <w:szCs w:val="20"/>
          <w:lang w:val="en-US"/>
        </w:rPr>
      </w:pPr>
      <w:r>
        <w:rPr>
          <w:sz w:val="22"/>
          <w:szCs w:val="22"/>
          <w:lang w:val="en-US"/>
        </w:rPr>
        <w:t>REPUBLIQUE DU CAMEROUN</w:t>
      </w:r>
      <w:r>
        <w:rPr>
          <w:sz w:val="22"/>
          <w:szCs w:val="22"/>
          <w:lang w:val="en-US"/>
        </w:rPr>
        <w:tab/>
      </w:r>
      <w:r>
        <w:rPr>
          <w:sz w:val="22"/>
          <w:szCs w:val="22"/>
          <w:lang w:val="en-US"/>
        </w:rPr>
        <w:t>REPUBLIC OF CAMEROON</w:t>
      </w:r>
    </w:p>
    <w:p>
      <w:pPr>
        <w:pStyle w:val="3"/>
        <w:widowControl w:val="0"/>
        <w:tabs>
          <w:tab w:val="left" w:pos="5954"/>
          <w:tab w:val="left" w:pos="7020"/>
        </w:tabs>
        <w:spacing w:line="360" w:lineRule="auto"/>
        <w:jc w:val="both"/>
        <w:rPr>
          <w:sz w:val="20"/>
          <w:szCs w:val="20"/>
          <w:lang w:val="en-US"/>
        </w:rPr>
      </w:pPr>
      <w:r>
        <w:rPr>
          <w:sz w:val="22"/>
          <w:szCs w:val="22"/>
          <w:lang w:val="en-US"/>
        </w:rPr>
        <w:t>Paix -Travail - Patrie</w:t>
      </w:r>
      <w:r>
        <w:rPr>
          <w:sz w:val="22"/>
          <w:szCs w:val="22"/>
          <w:lang w:val="en-US"/>
        </w:rPr>
        <w:tab/>
      </w:r>
      <w:r>
        <w:rPr>
          <w:sz w:val="22"/>
          <w:szCs w:val="22"/>
          <w:lang w:val="en-US"/>
        </w:rPr>
        <w:t>Peace – Work - Fatherland</w:t>
      </w:r>
    </w:p>
    <w:p>
      <w:pPr>
        <w:pStyle w:val="3"/>
        <w:widowControl w:val="0"/>
        <w:tabs>
          <w:tab w:val="left" w:pos="5954"/>
          <w:tab w:val="left" w:pos="7740"/>
        </w:tabs>
        <w:spacing w:line="360" w:lineRule="auto"/>
        <w:jc w:val="both"/>
        <w:rPr>
          <w:b/>
          <w:i/>
          <w:smallCaps/>
        </w:rPr>
      </w:pPr>
      <w:r>
        <w:rPr>
          <w:sz w:val="22"/>
          <w:szCs w:val="22"/>
        </w:rPr>
        <w:t>---------</w:t>
      </w:r>
      <w:r>
        <w:rPr>
          <w:sz w:val="22"/>
          <w:szCs w:val="22"/>
        </w:rPr>
        <w:tab/>
      </w:r>
      <w:r>
        <w:rPr>
          <w:sz w:val="22"/>
          <w:szCs w:val="22"/>
        </w:rPr>
        <w:t xml:space="preserve">                ----------</w:t>
      </w:r>
    </w:p>
    <w:p>
      <w:pPr>
        <w:pStyle w:val="3"/>
        <w:widowControl w:val="0"/>
        <w:tabs>
          <w:tab w:val="left" w:pos="5954"/>
        </w:tabs>
        <w:spacing w:line="360" w:lineRule="auto"/>
        <w:jc w:val="both"/>
        <w:rPr>
          <w:b/>
          <w:i/>
          <w:smallCaps/>
        </w:rPr>
      </w:pPr>
      <w:r>
        <w:rPr>
          <w:i/>
          <w:sz w:val="22"/>
          <w:szCs w:val="22"/>
        </w:rPr>
        <w:t>[Indiquer’ le Maître d’Ouvrage ou le Maître d’Ouvrage Délégué]</w:t>
      </w:r>
      <w:r>
        <w:rPr>
          <w:i/>
          <w:sz w:val="22"/>
          <w:szCs w:val="22"/>
        </w:rPr>
        <w:tab/>
      </w:r>
      <w:r>
        <w:rPr>
          <w:i/>
          <w:sz w:val="22"/>
          <w:szCs w:val="22"/>
        </w:rPr>
        <w:t>[Indicate the Contracting Authority]</w:t>
      </w:r>
    </w:p>
    <w:p>
      <w:pPr>
        <w:pStyle w:val="3"/>
        <w:widowControl w:val="0"/>
        <w:tabs>
          <w:tab w:val="left" w:pos="5954"/>
          <w:tab w:val="left" w:pos="7740"/>
        </w:tabs>
        <w:spacing w:line="360" w:lineRule="auto"/>
        <w:jc w:val="both"/>
        <w:rPr>
          <w:sz w:val="22"/>
          <w:szCs w:val="22"/>
        </w:rPr>
      </w:pPr>
      <w:r>
        <w:rPr>
          <w:sz w:val="22"/>
          <w:szCs w:val="22"/>
        </w:rPr>
        <w:t xml:space="preserve">                 ----------</w:t>
      </w:r>
      <w:r>
        <w:rPr>
          <w:sz w:val="22"/>
          <w:szCs w:val="22"/>
        </w:rPr>
        <w:tab/>
      </w:r>
      <w:r>
        <w:rPr>
          <w:sz w:val="22"/>
          <w:szCs w:val="22"/>
        </w:rPr>
        <w:t xml:space="preserve">                ----------</w:t>
      </w:r>
    </w:p>
    <w:p>
      <w:pPr>
        <w:pStyle w:val="3"/>
        <w:widowControl w:val="0"/>
        <w:spacing w:line="360" w:lineRule="auto"/>
        <w:jc w:val="both"/>
        <w:rPr>
          <w:b/>
          <w:i/>
          <w:smallCaps/>
        </w:rPr>
      </w:pPr>
      <w:r>
        <w:rPr>
          <w:b/>
          <w:sz w:val="22"/>
          <w:szCs w:val="22"/>
        </w:rPr>
        <w:t>MARCHE ou LETTRE-COMMANDE N°________/M ou LC/MO ou MOD/CPM/xy</w:t>
      </w:r>
    </w:p>
    <w:p>
      <w:pPr>
        <w:pStyle w:val="3"/>
        <w:widowControl w:val="0"/>
        <w:tabs>
          <w:tab w:val="left" w:pos="6480"/>
        </w:tabs>
        <w:spacing w:line="360" w:lineRule="auto"/>
        <w:jc w:val="both"/>
        <w:rPr>
          <w:b/>
          <w:i/>
          <w:smallCaps/>
        </w:rPr>
      </w:pPr>
      <w:r>
        <w:rPr>
          <w:sz w:val="22"/>
          <w:szCs w:val="22"/>
        </w:rPr>
        <w:t>Passé après Appel d’Offres….........................………… n°_______/AO</w:t>
      </w:r>
      <w:r>
        <w:rPr>
          <w:sz w:val="22"/>
          <w:szCs w:val="22"/>
        </w:rPr>
        <w:tab/>
      </w:r>
      <w:r>
        <w:rPr>
          <w:sz w:val="22"/>
          <w:szCs w:val="22"/>
        </w:rPr>
        <w:t xml:space="preserve">/MO </w:t>
      </w:r>
      <w:r>
        <w:rPr>
          <w:b/>
          <w:sz w:val="22"/>
          <w:szCs w:val="22"/>
        </w:rPr>
        <w:t>ou MOD</w:t>
      </w:r>
      <w:r>
        <w:rPr>
          <w:sz w:val="22"/>
          <w:szCs w:val="22"/>
        </w:rPr>
        <w:t>/CPM/xy du……………….............…...</w:t>
      </w:r>
    </w:p>
    <w:p>
      <w:pPr>
        <w:pStyle w:val="3"/>
        <w:widowControl w:val="0"/>
        <w:tabs>
          <w:tab w:val="left" w:pos="2760"/>
        </w:tabs>
        <w:spacing w:line="360" w:lineRule="auto"/>
        <w:jc w:val="both"/>
        <w:rPr>
          <w:b/>
          <w:i/>
          <w:smallCaps/>
        </w:rPr>
      </w:pPr>
      <w:r>
        <w:rPr>
          <w:sz w:val="22"/>
          <w:szCs w:val="22"/>
        </w:rPr>
        <w:t>Maître d’Ouvrage ou Maître d’Ouvrage Délégué :</w:t>
      </w:r>
      <w:r>
        <w:rPr>
          <w:i/>
          <w:sz w:val="22"/>
          <w:szCs w:val="22"/>
        </w:rPr>
        <w:t xml:space="preserve"> [indiquer le nom et son adresse complète]</w:t>
      </w:r>
    </w:p>
    <w:p>
      <w:pPr>
        <w:pStyle w:val="3"/>
        <w:widowControl w:val="0"/>
        <w:tabs>
          <w:tab w:val="left" w:pos="2760"/>
        </w:tabs>
        <w:spacing w:line="360" w:lineRule="auto"/>
        <w:jc w:val="both"/>
        <w:rPr>
          <w:b/>
          <w:i/>
          <w:smallCaps/>
        </w:rPr>
      </w:pPr>
      <w:r>
        <w:rPr>
          <w:b/>
          <w:sz w:val="22"/>
          <w:szCs w:val="22"/>
        </w:rPr>
        <w:t>TITULAIRE</w:t>
      </w:r>
      <w:r>
        <w:rPr>
          <w:b/>
          <w:sz w:val="22"/>
          <w:szCs w:val="22"/>
        </w:rPr>
        <w:tab/>
      </w:r>
      <w:r>
        <w:rPr>
          <w:sz w:val="22"/>
          <w:szCs w:val="22"/>
        </w:rPr>
        <w:t>:</w:t>
      </w:r>
      <w:r>
        <w:rPr>
          <w:i/>
          <w:sz w:val="22"/>
          <w:szCs w:val="22"/>
        </w:rPr>
        <w:t xml:space="preserve"> [indiquer le titulaire et son adresse complète]</w:t>
      </w:r>
    </w:p>
    <w:p>
      <w:pPr>
        <w:pStyle w:val="3"/>
        <w:widowControl w:val="0"/>
        <w:tabs>
          <w:tab w:val="left" w:pos="3119"/>
          <w:tab w:val="left" w:pos="5954"/>
          <w:tab w:val="left" w:pos="9214"/>
        </w:tabs>
        <w:spacing w:line="360" w:lineRule="auto"/>
        <w:ind w:left="567"/>
        <w:jc w:val="both"/>
        <w:rPr>
          <w:sz w:val="20"/>
          <w:szCs w:val="20"/>
        </w:rPr>
      </w:pPr>
      <w:r>
        <w:rPr>
          <w:sz w:val="22"/>
          <w:szCs w:val="22"/>
        </w:rPr>
        <w:t>B.P:</w:t>
      </w:r>
      <w:r>
        <w:rPr>
          <w:sz w:val="22"/>
          <w:szCs w:val="22"/>
          <w:u w:val="single"/>
        </w:rPr>
        <w:tab/>
      </w:r>
      <w:r>
        <w:rPr>
          <w:sz w:val="22"/>
          <w:szCs w:val="22"/>
        </w:rPr>
        <w:t>,Tel</w:t>
      </w:r>
      <w:r>
        <w:rPr>
          <w:sz w:val="22"/>
          <w:szCs w:val="22"/>
          <w:u w:val="single"/>
        </w:rPr>
        <w:tab/>
      </w:r>
      <w:r>
        <w:rPr>
          <w:sz w:val="22"/>
          <w:szCs w:val="22"/>
        </w:rPr>
        <w:t xml:space="preserve"> Fax:</w:t>
      </w:r>
      <w:r>
        <w:rPr>
          <w:sz w:val="22"/>
          <w:szCs w:val="22"/>
          <w:u w:val="single"/>
        </w:rPr>
        <w:tab/>
      </w:r>
    </w:p>
    <w:p>
      <w:pPr>
        <w:pStyle w:val="3"/>
        <w:widowControl w:val="0"/>
        <w:tabs>
          <w:tab w:val="left" w:pos="2680"/>
          <w:tab w:val="left" w:pos="5954"/>
        </w:tabs>
        <w:spacing w:line="360" w:lineRule="auto"/>
        <w:ind w:left="567"/>
        <w:jc w:val="both"/>
        <w:rPr>
          <w:sz w:val="20"/>
          <w:szCs w:val="20"/>
        </w:rPr>
      </w:pPr>
      <w:r>
        <w:rPr>
          <w:sz w:val="22"/>
          <w:szCs w:val="22"/>
        </w:rPr>
        <w:t>N° R.C:</w:t>
      </w:r>
      <w:r>
        <w:rPr>
          <w:sz w:val="22"/>
          <w:szCs w:val="22"/>
          <w:u w:val="single"/>
        </w:rPr>
        <w:tab/>
      </w:r>
      <w:r>
        <w:rPr>
          <w:sz w:val="22"/>
          <w:szCs w:val="22"/>
        </w:rPr>
        <w:t xml:space="preserve">N° Contribuable: </w:t>
      </w:r>
      <w:r>
        <w:rPr>
          <w:sz w:val="22"/>
          <w:szCs w:val="22"/>
          <w:u w:val="single"/>
        </w:rPr>
        <w:tab/>
      </w:r>
      <w:r>
        <w:rPr>
          <w:sz w:val="22"/>
          <w:szCs w:val="22"/>
        </w:rPr>
        <w:t xml:space="preserve"> RIB :_</w:t>
      </w:r>
      <w:r>
        <w:rPr>
          <w:sz w:val="22"/>
          <w:szCs w:val="22"/>
          <w:u w:val="single"/>
        </w:rPr>
        <w:t>_____________</w:t>
      </w:r>
    </w:p>
    <w:p>
      <w:pPr>
        <w:pStyle w:val="3"/>
        <w:widowControl w:val="0"/>
        <w:spacing w:line="360" w:lineRule="auto"/>
        <w:jc w:val="both"/>
        <w:rPr>
          <w:b/>
          <w:i/>
          <w:smallCaps/>
        </w:rPr>
      </w:pPr>
      <w:r>
        <w:rPr>
          <w:b/>
          <w:sz w:val="22"/>
          <w:szCs w:val="22"/>
        </w:rPr>
        <w:t>OBJET</w:t>
      </w:r>
      <w:r>
        <w:rPr>
          <w:b/>
          <w:sz w:val="22"/>
          <w:szCs w:val="22"/>
        </w:rPr>
        <w:tab/>
      </w:r>
      <w:r>
        <w:rPr>
          <w:i/>
          <w:sz w:val="22"/>
          <w:szCs w:val="22"/>
        </w:rPr>
        <w:t>: Exécution des travaux..............................................................................................;</w:t>
      </w:r>
    </w:p>
    <w:p>
      <w:pPr>
        <w:pStyle w:val="3"/>
        <w:widowControl w:val="0"/>
        <w:tabs>
          <w:tab w:val="left" w:pos="4940"/>
          <w:tab w:val="left" w:pos="8180"/>
        </w:tabs>
        <w:spacing w:line="360" w:lineRule="auto"/>
        <w:jc w:val="both"/>
        <w:rPr>
          <w:b/>
          <w:i/>
          <w:smallCaps/>
        </w:rPr>
      </w:pPr>
      <w:r>
        <w:rPr>
          <w:i/>
          <w:sz w:val="22"/>
          <w:szCs w:val="22"/>
        </w:rPr>
        <w:t>Lot n°</w:t>
      </w:r>
      <w:r>
        <w:rPr>
          <w:i/>
          <w:sz w:val="22"/>
          <w:szCs w:val="22"/>
          <w:u w:val="single"/>
        </w:rPr>
        <w:tab/>
      </w:r>
      <w:r>
        <w:rPr>
          <w:i/>
          <w:sz w:val="22"/>
          <w:szCs w:val="22"/>
        </w:rPr>
        <w:t>; Réseau</w:t>
      </w:r>
    </w:p>
    <w:tbl>
      <w:tblPr>
        <w:tblStyle w:val="37"/>
        <w:tblW w:w="9130" w:type="dxa"/>
        <w:tblInd w:w="839" w:type="dxa"/>
        <w:tblLayout w:type="fixed"/>
        <w:tblCellMar>
          <w:top w:w="0" w:type="dxa"/>
          <w:left w:w="0" w:type="dxa"/>
          <w:bottom w:w="0" w:type="dxa"/>
          <w:right w:w="0" w:type="dxa"/>
        </w:tblCellMar>
      </w:tblPr>
      <w:tblGrid>
        <w:gridCol w:w="1586"/>
        <w:gridCol w:w="1280"/>
        <w:gridCol w:w="4719"/>
        <w:gridCol w:w="1545"/>
      </w:tblGrid>
      <w:tr>
        <w:tblPrEx>
          <w:tblLayout w:type="fixed"/>
        </w:tblPrEx>
        <w:trPr>
          <w:cantSplit/>
          <w:trHeight w:val="375" w:hRule="atLeast"/>
          <w:tblHeader/>
        </w:trPr>
        <w:tc>
          <w:tcPr>
            <w:tcW w:w="158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sz w:val="22"/>
                <w:szCs w:val="22"/>
              </w:rPr>
              <w:t>N° tronçon</w:t>
            </w: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sz w:val="22"/>
                <w:szCs w:val="22"/>
              </w:rPr>
              <w:t>N° route</w:t>
            </w:r>
          </w:p>
        </w:tc>
        <w:tc>
          <w:tcPr>
            <w:tcW w:w="4719"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sz w:val="22"/>
                <w:szCs w:val="22"/>
              </w:rPr>
              <w:t>Itinéraire</w:t>
            </w:r>
          </w:p>
        </w:tc>
        <w:tc>
          <w:tcPr>
            <w:tcW w:w="15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sz w:val="22"/>
                <w:szCs w:val="22"/>
              </w:rPr>
              <w:t>Long.</w:t>
            </w:r>
            <w:r>
              <w:rPr>
                <w:i/>
                <w:sz w:val="22"/>
                <w:szCs w:val="22"/>
              </w:rPr>
              <w:t>(km)</w:t>
            </w:r>
          </w:p>
        </w:tc>
      </w:tr>
      <w:tr>
        <w:tblPrEx>
          <w:tblLayout w:type="fixed"/>
        </w:tblPrEx>
        <w:trPr>
          <w:cantSplit/>
          <w:trHeight w:val="383" w:hRule="atLeast"/>
          <w:tblHeader/>
        </w:trPr>
        <w:tc>
          <w:tcPr>
            <w:tcW w:w="158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4719"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15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432" w:hRule="atLeast"/>
          <w:tblHeader/>
        </w:trPr>
        <w:tc>
          <w:tcPr>
            <w:tcW w:w="158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4719"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15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410" w:hRule="atLeast"/>
          <w:tblHeader/>
        </w:trPr>
        <w:tc>
          <w:tcPr>
            <w:tcW w:w="158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4719"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c>
          <w:tcPr>
            <w:tcW w:w="15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429" w:hRule="atLeast"/>
          <w:tblHeader/>
        </w:trPr>
        <w:tc>
          <w:tcPr>
            <w:tcW w:w="7585" w:type="dxa"/>
            <w:gridSpan w:val="3"/>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rPr>
                <w:b/>
                <w:i/>
                <w:sz w:val="22"/>
                <w:szCs w:val="22"/>
              </w:rPr>
              <w:t>Total</w:t>
            </w:r>
          </w:p>
        </w:tc>
        <w:tc>
          <w:tcPr>
            <w:tcW w:w="15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bl>
    <w:p>
      <w:pPr>
        <w:pStyle w:val="3"/>
        <w:widowControl w:val="0"/>
        <w:tabs>
          <w:tab w:val="left" w:pos="2760"/>
        </w:tabs>
        <w:spacing w:line="360" w:lineRule="auto"/>
        <w:jc w:val="both"/>
        <w:rPr>
          <w:b/>
          <w:i/>
          <w:smallCaps/>
        </w:rPr>
      </w:pPr>
      <w:r>
        <w:rPr>
          <w:b/>
          <w:sz w:val="22"/>
          <w:szCs w:val="22"/>
        </w:rPr>
        <w:t>LIEU</w:t>
      </w:r>
      <w:r>
        <w:rPr>
          <w:b/>
          <w:sz w:val="22"/>
          <w:szCs w:val="22"/>
        </w:rPr>
        <w:tab/>
      </w:r>
      <w:r>
        <w:rPr>
          <w:sz w:val="22"/>
          <w:szCs w:val="22"/>
        </w:rPr>
        <w:t>: Région..............................................................................................</w:t>
      </w:r>
    </w:p>
    <w:p>
      <w:pPr>
        <w:pStyle w:val="3"/>
        <w:widowControl w:val="0"/>
        <w:tabs>
          <w:tab w:val="left" w:pos="2760"/>
        </w:tabs>
        <w:spacing w:line="360" w:lineRule="auto"/>
        <w:jc w:val="both"/>
        <w:rPr>
          <w:b/>
          <w:i/>
          <w:smallCaps/>
        </w:rPr>
      </w:pPr>
      <w:r>
        <w:rPr>
          <w:b/>
          <w:sz w:val="22"/>
          <w:szCs w:val="22"/>
        </w:rPr>
        <w:t>DELAID’EXECUTION</w:t>
      </w:r>
      <w:r>
        <w:rPr>
          <w:b/>
          <w:sz w:val="22"/>
          <w:szCs w:val="22"/>
        </w:rPr>
        <w:tab/>
      </w:r>
      <w:r>
        <w:rPr>
          <w:sz w:val="22"/>
          <w:szCs w:val="22"/>
        </w:rPr>
        <w:t>: .................................................(........................) mois</w:t>
      </w:r>
    </w:p>
    <w:p>
      <w:pPr>
        <w:pStyle w:val="3"/>
        <w:widowControl w:val="0"/>
        <w:tabs>
          <w:tab w:val="left" w:pos="2760"/>
        </w:tabs>
        <w:spacing w:line="360" w:lineRule="auto"/>
        <w:jc w:val="both"/>
        <w:rPr>
          <w:b/>
          <w:i/>
          <w:smallCaps/>
        </w:rPr>
      </w:pPr>
      <w:r>
        <w:rPr>
          <w:b/>
          <w:sz w:val="22"/>
          <w:szCs w:val="22"/>
        </w:rPr>
        <w:t>MONTANT ENFCFA</w:t>
      </w:r>
      <w:r>
        <w:rPr>
          <w:b/>
          <w:sz w:val="22"/>
          <w:szCs w:val="22"/>
        </w:rPr>
        <w:tab/>
      </w:r>
      <w:r>
        <w:rPr>
          <w:sz w:val="22"/>
          <w:szCs w:val="22"/>
        </w:rPr>
        <w:t>:</w:t>
      </w:r>
    </w:p>
    <w:tbl>
      <w:tblPr>
        <w:tblStyle w:val="38"/>
        <w:tblW w:w="5630" w:type="dxa"/>
        <w:tblInd w:w="2663" w:type="dxa"/>
        <w:tblLayout w:type="fixed"/>
        <w:tblCellMar>
          <w:top w:w="0" w:type="dxa"/>
          <w:left w:w="0" w:type="dxa"/>
          <w:bottom w:w="0" w:type="dxa"/>
          <w:right w:w="0" w:type="dxa"/>
        </w:tblCellMar>
      </w:tblPr>
      <w:tblGrid>
        <w:gridCol w:w="2370"/>
        <w:gridCol w:w="3260"/>
      </w:tblGrid>
      <w:tr>
        <w:tblPrEx>
          <w:tblLayout w:type="fixed"/>
        </w:tblPrEx>
        <w:trPr>
          <w:cantSplit/>
          <w:trHeight w:val="375" w:hRule="atLeast"/>
          <w:tblHeader/>
        </w:trPr>
        <w:tc>
          <w:tcPr>
            <w:tcW w:w="237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r>
              <w:rPr>
                <w:sz w:val="22"/>
                <w:szCs w:val="22"/>
              </w:rPr>
              <w:t>TTC</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373" w:hRule="atLeast"/>
          <w:tblHeader/>
        </w:trPr>
        <w:tc>
          <w:tcPr>
            <w:tcW w:w="237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r>
              <w:rPr>
                <w:sz w:val="22"/>
                <w:szCs w:val="22"/>
              </w:rPr>
              <w:t>HTVA</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373" w:hRule="atLeast"/>
          <w:tblHeader/>
        </w:trPr>
        <w:tc>
          <w:tcPr>
            <w:tcW w:w="237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r>
              <w:rPr>
                <w:sz w:val="22"/>
                <w:szCs w:val="22"/>
              </w:rPr>
              <w:t>TVA</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373" w:hRule="atLeast"/>
          <w:tblHeader/>
        </w:trPr>
        <w:tc>
          <w:tcPr>
            <w:tcW w:w="237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r>
              <w:rPr>
                <w:sz w:val="22"/>
                <w:szCs w:val="22"/>
              </w:rPr>
              <w:t>AIR</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r>
        <w:tblPrEx>
          <w:tblLayout w:type="fixed"/>
        </w:tblPrEx>
        <w:trPr>
          <w:cantSplit/>
          <w:trHeight w:val="437" w:hRule="atLeast"/>
          <w:tblHeader/>
        </w:trPr>
        <w:tc>
          <w:tcPr>
            <w:tcW w:w="237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rPr>
                <w:sz w:val="22"/>
                <w:szCs w:val="22"/>
              </w:rPr>
              <w:t>Net à mandater</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sz w:val="22"/>
                <w:szCs w:val="22"/>
              </w:rPr>
            </w:pPr>
          </w:p>
        </w:tc>
      </w:tr>
    </w:tbl>
    <w:p>
      <w:pPr>
        <w:pStyle w:val="3"/>
        <w:widowControl w:val="0"/>
        <w:spacing w:line="360" w:lineRule="auto"/>
        <w:jc w:val="both"/>
        <w:rPr>
          <w:sz w:val="22"/>
          <w:szCs w:val="22"/>
        </w:rPr>
      </w:pPr>
    </w:p>
    <w:p>
      <w:pPr>
        <w:pStyle w:val="3"/>
        <w:widowControl w:val="0"/>
        <w:tabs>
          <w:tab w:val="left" w:pos="2760"/>
        </w:tabs>
        <w:spacing w:line="360" w:lineRule="auto"/>
        <w:jc w:val="both"/>
        <w:rPr>
          <w:b/>
          <w:i/>
          <w:smallCaps/>
        </w:rPr>
      </w:pPr>
      <w:r>
        <w:rPr>
          <w:b/>
          <w:sz w:val="22"/>
          <w:szCs w:val="22"/>
        </w:rPr>
        <w:t>FINANCEMENT</w:t>
      </w:r>
      <w:r>
        <w:rPr>
          <w:b/>
          <w:sz w:val="22"/>
          <w:szCs w:val="22"/>
        </w:rPr>
        <w:tab/>
      </w:r>
      <w:r>
        <w:rPr>
          <w:sz w:val="22"/>
          <w:szCs w:val="22"/>
        </w:rPr>
        <w:t xml:space="preserve">: </w:t>
      </w:r>
      <w:r>
        <w:rPr>
          <w:i/>
          <w:sz w:val="22"/>
          <w:szCs w:val="22"/>
        </w:rPr>
        <w:t>[Indiquer source de financement]</w:t>
      </w:r>
    </w:p>
    <w:p>
      <w:pPr>
        <w:pStyle w:val="3"/>
        <w:widowControl w:val="0"/>
        <w:tabs>
          <w:tab w:val="left" w:pos="2760"/>
        </w:tabs>
        <w:spacing w:line="360" w:lineRule="auto"/>
        <w:jc w:val="both"/>
        <w:rPr>
          <w:b/>
          <w:i/>
          <w:smallCaps/>
        </w:rPr>
      </w:pPr>
      <w:r>
        <w:rPr>
          <w:b/>
          <w:sz w:val="22"/>
          <w:szCs w:val="22"/>
        </w:rPr>
        <w:t>IMPUTATION</w:t>
      </w:r>
      <w:r>
        <w:rPr>
          <w:b/>
          <w:sz w:val="22"/>
          <w:szCs w:val="22"/>
        </w:rPr>
        <w:tab/>
      </w:r>
      <w:r>
        <w:rPr>
          <w:sz w:val="22"/>
          <w:szCs w:val="22"/>
        </w:rPr>
        <w:t xml:space="preserve">: </w:t>
      </w:r>
      <w:r>
        <w:rPr>
          <w:i/>
          <w:sz w:val="22"/>
          <w:szCs w:val="22"/>
        </w:rPr>
        <w:t>[A compléter]</w:t>
      </w:r>
    </w:p>
    <w:p>
      <w:pPr>
        <w:pStyle w:val="3"/>
        <w:widowControl w:val="0"/>
        <w:spacing w:line="360" w:lineRule="auto"/>
        <w:jc w:val="both"/>
        <w:rPr>
          <w:sz w:val="16"/>
          <w:szCs w:val="16"/>
        </w:rPr>
      </w:pPr>
    </w:p>
    <w:p>
      <w:pPr>
        <w:pStyle w:val="3"/>
        <w:widowControl w:val="0"/>
        <w:tabs>
          <w:tab w:val="left" w:pos="5860"/>
        </w:tabs>
        <w:spacing w:line="360" w:lineRule="auto"/>
        <w:ind w:left="3969"/>
        <w:jc w:val="both"/>
        <w:rPr>
          <w:b/>
          <w:i/>
          <w:smallCaps/>
        </w:rPr>
      </w:pPr>
      <w:r>
        <w:rPr>
          <w:sz w:val="22"/>
          <w:szCs w:val="22"/>
        </w:rPr>
        <w:t>SOUSCRIT,</w:t>
      </w:r>
      <w:r>
        <w:rPr>
          <w:sz w:val="22"/>
          <w:szCs w:val="22"/>
        </w:rPr>
        <w:tab/>
      </w:r>
      <w:r>
        <w:rPr>
          <w:sz w:val="22"/>
          <w:szCs w:val="22"/>
        </w:rPr>
        <w:t>LE</w:t>
      </w:r>
      <w:r>
        <mc:AlternateContent>
          <mc:Choice Requires="wps">
            <w:drawing>
              <wp:anchor distT="0" distB="0" distL="0" distR="0" simplePos="0" relativeHeight="251657216" behindDoc="1" locked="0" layoutInCell="1" allowOverlap="1">
                <wp:simplePos x="0" y="0"/>
                <wp:positionH relativeFrom="column">
                  <wp:posOffset>3767455</wp:posOffset>
                </wp:positionH>
                <wp:positionV relativeFrom="paragraph">
                  <wp:posOffset>142875</wp:posOffset>
                </wp:positionV>
                <wp:extent cx="1355725" cy="0"/>
                <wp:effectExtent l="10795" t="12065" r="5080" b="6985"/>
                <wp:wrapNone/>
                <wp:docPr id="9" name="Forme libre 9"/>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orme libre 9" o:spid="_x0000_s1026" o:spt="100" style="position:absolute;left:0pt;margin-left:296.65pt;margin-top:11.25pt;height:0pt;width:106.75pt;z-index:-251659264;mso-width-relative:page;mso-height-relative:page;" filled="f" stroked="t" coordsize="1355725,1" o:gfxdata="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GC31iHXAAAACQEAAA8AAAAAAAAAAQAg&#10;AAAAIgAAAGRycy9kb3ducmV2LnhtbFBLAQIUABQAAAAIAIdO4kBHpLND8wIAAP4HAAAOAAAAAAAA&#10;AAEAIAAAACYBAABkcnMvZTJvRG9jLnhtbFBLBQYAAAAABgAGAFkBAACLBgA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p>
    <w:p>
      <w:pPr>
        <w:pStyle w:val="3"/>
        <w:widowControl w:val="0"/>
        <w:tabs>
          <w:tab w:val="left" w:pos="5860"/>
        </w:tabs>
        <w:spacing w:line="360" w:lineRule="auto"/>
        <w:ind w:left="3969"/>
        <w:jc w:val="both"/>
        <w:rPr>
          <w:b/>
          <w:i/>
          <w:smallCaps/>
        </w:rPr>
      </w:pPr>
      <w:r>
        <w:rPr>
          <w:sz w:val="22"/>
          <w:szCs w:val="22"/>
        </w:rPr>
        <w:t>SIGNE,</w:t>
      </w:r>
      <w:r>
        <w:rPr>
          <w:sz w:val="22"/>
          <w:szCs w:val="22"/>
        </w:rPr>
        <w:tab/>
      </w:r>
      <w:r>
        <w:rPr>
          <w:sz w:val="22"/>
          <w:szCs w:val="22"/>
        </w:rPr>
        <w:t>LE</w:t>
      </w:r>
      <w:r>
        <mc:AlternateContent>
          <mc:Choice Requires="wps">
            <w:drawing>
              <wp:anchor distT="0" distB="0" distL="0" distR="0" simplePos="0" relativeHeight="251658240" behindDoc="1" locked="0" layoutInCell="1" allowOverlap="1">
                <wp:simplePos x="0" y="0"/>
                <wp:positionH relativeFrom="column">
                  <wp:posOffset>3767455</wp:posOffset>
                </wp:positionH>
                <wp:positionV relativeFrom="paragraph">
                  <wp:posOffset>118745</wp:posOffset>
                </wp:positionV>
                <wp:extent cx="1355725" cy="0"/>
                <wp:effectExtent l="10795" t="8255" r="5080" b="10795"/>
                <wp:wrapNone/>
                <wp:docPr id="7" name="Forme libre 7"/>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orme libre 7" o:spid="_x0000_s1026" o:spt="100" style="position:absolute;left:0pt;margin-left:296.65pt;margin-top:9.35pt;height:0pt;width:106.75pt;z-index:-251658240;mso-width-relative:page;mso-height-relative:page;" filled="f" stroked="t" coordsize="1355725,1" o:gfxdata="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bkmw9YAAAAJAQAADwAAAAAAAAABACAA&#10;AAAiAAAAZHJzL2Rvd25yZXYueG1sUEsBAhQAFAAAAAgAh07iQKzblVrzAgAA/gcAAA4AAAAAAAAA&#10;AQAgAAAAJQEAAGRycy9lMm9Eb2MueG1sUEsFBgAAAAAGAAYAWQEAAIoGAAA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p>
    <w:p>
      <w:pPr>
        <w:pStyle w:val="3"/>
        <w:widowControl w:val="0"/>
        <w:tabs>
          <w:tab w:val="left" w:pos="5860"/>
        </w:tabs>
        <w:spacing w:line="360" w:lineRule="auto"/>
        <w:ind w:left="3969"/>
        <w:jc w:val="both"/>
        <w:rPr>
          <w:b/>
          <w:i/>
          <w:smallCaps/>
        </w:rPr>
      </w:pPr>
      <w:r>
        <w:rPr>
          <w:sz w:val="22"/>
          <w:szCs w:val="22"/>
        </w:rPr>
        <w:t>NOTIFIE,</w:t>
      </w:r>
      <w:r>
        <w:rPr>
          <w:sz w:val="22"/>
          <w:szCs w:val="22"/>
        </w:rPr>
        <w:tab/>
      </w:r>
      <w:r>
        <w:rPr>
          <w:sz w:val="22"/>
          <w:szCs w:val="22"/>
        </w:rPr>
        <w:t>LE</w:t>
      </w:r>
      <w:r>
        <mc:AlternateContent>
          <mc:Choice Requires="wps">
            <w:drawing>
              <wp:anchor distT="0" distB="0" distL="0" distR="0" simplePos="0" relativeHeight="251659264" behindDoc="1" locked="0" layoutInCell="1" allowOverlap="1">
                <wp:simplePos x="0" y="0"/>
                <wp:positionH relativeFrom="column">
                  <wp:posOffset>3767455</wp:posOffset>
                </wp:positionH>
                <wp:positionV relativeFrom="paragraph">
                  <wp:posOffset>118745</wp:posOffset>
                </wp:positionV>
                <wp:extent cx="1355725" cy="0"/>
                <wp:effectExtent l="10795" t="9525" r="5080" b="9525"/>
                <wp:wrapNone/>
                <wp:docPr id="13" name="Forme libre 13"/>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orme libre 13" o:spid="_x0000_s1026" o:spt="100" style="position:absolute;left:0pt;margin-left:296.65pt;margin-top:9.35pt;height:0pt;width:106.75pt;z-index:-251657216;mso-width-relative:page;mso-height-relative:page;" filled="f" stroked="t" coordsize="1355725,1" o:gfxdata="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Qbkmw9YAAAAJAQAADwAAAAAAAAAB&#10;ACAAAAAiAAAAZHJzL2Rvd25yZXYueG1sUEsBAhQAFAAAAAgAh07iQLxGlBr2AgAAAAgAAA4AAAAA&#10;AAAAAQAgAAAAJQEAAGRycy9lMm9Eb2MueG1sUEsFBgAAAAAGAAYAWQEAAI0GAAA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p>
    <w:p>
      <w:pPr>
        <w:pStyle w:val="3"/>
        <w:widowControl w:val="0"/>
        <w:tabs>
          <w:tab w:val="left" w:pos="5860"/>
        </w:tabs>
        <w:spacing w:line="360" w:lineRule="auto"/>
        <w:ind w:left="3969"/>
        <w:jc w:val="both"/>
        <w:rPr>
          <w:sz w:val="22"/>
          <w:szCs w:val="22"/>
        </w:rPr>
      </w:pPr>
      <w:r>
        <w:rPr>
          <w:sz w:val="22"/>
          <w:szCs w:val="22"/>
        </w:rPr>
        <w:t>ENREGISTRE,</w:t>
      </w:r>
      <w:r>
        <w:rPr>
          <w:sz w:val="22"/>
          <w:szCs w:val="22"/>
        </w:rPr>
        <w:tab/>
      </w:r>
      <w:r>
        <w:rPr>
          <w:sz w:val="22"/>
          <w:szCs w:val="22"/>
        </w:rPr>
        <w:t>LE</w:t>
      </w:r>
      <w:r>
        <mc:AlternateContent>
          <mc:Choice Requires="wps">
            <w:drawing>
              <wp:anchor distT="0" distB="0" distL="0" distR="0" simplePos="0" relativeHeight="251661312" behindDoc="1" locked="0" layoutInCell="1" allowOverlap="1">
                <wp:simplePos x="0" y="0"/>
                <wp:positionH relativeFrom="column">
                  <wp:posOffset>3766820</wp:posOffset>
                </wp:positionH>
                <wp:positionV relativeFrom="paragraph">
                  <wp:posOffset>118745</wp:posOffset>
                </wp:positionV>
                <wp:extent cx="1355725" cy="0"/>
                <wp:effectExtent l="10160" t="6985" r="5715" b="12065"/>
                <wp:wrapNone/>
                <wp:docPr id="15" name="Forme libre 15"/>
                <wp:cNvGraphicFramePr/>
                <a:graphic xmlns:a="http://schemas.openxmlformats.org/drawingml/2006/main">
                  <a:graphicData uri="http://schemas.microsoft.com/office/word/2010/wordprocessingShape">
                    <wps:wsp>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orme libre 15" o:spid="_x0000_s1026" o:spt="100" style="position:absolute;left:0pt;margin-left:296.6pt;margin-top:9.35pt;height:0pt;width:106.75pt;z-index:-251655168;mso-width-relative:page;mso-height-relative:page;" filled="f" stroked="t" coordsize="1356360,1" o:gfxdata="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loIjC1QAAAAkBAAAPAAAAAAAA&#10;AAEAIAAAACIAAABkcnMvZG93bnJldi54bWxQSwECFAAUAAAACACHTuJAZ6OBL/kCAAAACAAADgAA&#10;AAAAAAABACAAAAAkAQAAZHJzL2Uyb0RvYy54bWxQSwUGAAAAAAYABgBZAQAAjwYAAAAA&#10;" path="m0,0l1356360,0e">
                <v:path o:connectlocs="676911,0;1353822,0;676911,0;0,0;0,0;1353822,0" o:connectangles="247,0,82,164,0,0"/>
                <v:fill on="f" focussize="0,0"/>
                <v:stroke weight="0.499606299212598pt" color="#221F1F" joinstyle="round"/>
                <v:imagedata o:title=""/>
                <o:lock v:ext="edit" aspectratio="f"/>
              </v:shape>
            </w:pict>
          </mc:Fallback>
        </mc:AlternateContent>
      </w:r>
    </w:p>
    <w:p>
      <w:pPr>
        <w:pStyle w:val="3"/>
        <w:rPr>
          <w:sz w:val="22"/>
          <w:szCs w:val="22"/>
        </w:rPr>
      </w:pPr>
      <w:r>
        <w:rPr>
          <w:sz w:val="22"/>
          <w:szCs w:val="22"/>
        </w:rPr>
        <w:br w:type="textWrapping"/>
      </w:r>
    </w:p>
    <w:p>
      <w:pPr>
        <w:pStyle w:val="3"/>
        <w:pageBreakBefore/>
        <w:widowControl w:val="0"/>
        <w:spacing w:line="360" w:lineRule="auto"/>
        <w:jc w:val="both"/>
        <w:rPr>
          <w:b/>
          <w:i/>
          <w:smallCaps/>
        </w:rPr>
      </w:pPr>
      <w:r>
        <w:rPr>
          <w:b/>
        </w:rPr>
        <w:t>Entre</w:t>
      </w:r>
      <w:r>
        <w:t>:</w:t>
      </w:r>
    </w:p>
    <w:p>
      <w:pPr>
        <w:pStyle w:val="3"/>
        <w:widowControl w:val="0"/>
        <w:tabs>
          <w:tab w:val="left" w:pos="10820"/>
        </w:tabs>
        <w:spacing w:line="360" w:lineRule="auto"/>
        <w:jc w:val="both"/>
        <w:rPr>
          <w:b/>
          <w:i/>
          <w:smallCaps/>
        </w:rPr>
      </w:pPr>
      <w:r>
        <w:t>L’administration camerounaise, représentée par ……………………………….</w:t>
      </w:r>
    </w:p>
    <w:p>
      <w:pPr>
        <w:pStyle w:val="3"/>
        <w:widowControl w:val="0"/>
        <w:spacing w:line="360" w:lineRule="auto"/>
        <w:jc w:val="both"/>
        <w:rPr>
          <w:b/>
          <w:i/>
          <w:smallCaps/>
        </w:rPr>
      </w:pPr>
      <w:r>
        <w:t xml:space="preserve">Dénommée ci-après </w:t>
      </w:r>
    </w:p>
    <w:p>
      <w:pPr>
        <w:pStyle w:val="3"/>
        <w:widowControl w:val="0"/>
        <w:spacing w:line="360" w:lineRule="auto"/>
        <w:jc w:val="both"/>
        <w:rPr>
          <w:color w:val="ED7D31"/>
          <w:sz w:val="28"/>
          <w:szCs w:val="28"/>
        </w:rPr>
      </w:pPr>
      <w:r>
        <w:rPr>
          <w:color w:val="ED7D31"/>
          <w:sz w:val="28"/>
          <w:szCs w:val="28"/>
        </w:rPr>
        <w:t>« Le Maître d’Ouvrage ou le Maître d’Ouvrage Délégué ou Autorité contractante »</w:t>
      </w:r>
    </w:p>
    <w:p>
      <w:pPr>
        <w:pStyle w:val="3"/>
        <w:widowControl w:val="0"/>
        <w:spacing w:line="360" w:lineRule="auto"/>
        <w:jc w:val="both"/>
        <w:rPr>
          <w:b/>
          <w:i/>
          <w:smallCaps/>
        </w:rPr>
      </w:pPr>
      <w:r>
        <w:rPr>
          <w:b/>
        </w:rPr>
        <w:t>D'une part</w:t>
      </w:r>
      <w:r>
        <w:t>,</w:t>
      </w:r>
    </w:p>
    <w:p>
      <w:pPr>
        <w:pStyle w:val="3"/>
        <w:widowControl w:val="0"/>
        <w:spacing w:line="360" w:lineRule="auto"/>
        <w:jc w:val="both"/>
        <w:rPr>
          <w:b/>
          <w:i/>
          <w:smallCaps/>
        </w:rPr>
      </w:pPr>
      <w:r>
        <w:rPr>
          <w:b/>
        </w:rPr>
        <w:t>Et</w:t>
      </w:r>
    </w:p>
    <w:p>
      <w:pPr>
        <w:pStyle w:val="3"/>
        <w:widowControl w:val="0"/>
        <w:tabs>
          <w:tab w:val="left" w:pos="5700"/>
        </w:tabs>
        <w:spacing w:line="360" w:lineRule="auto"/>
        <w:jc w:val="both"/>
        <w:rPr>
          <w:b/>
          <w:i/>
          <w:smallCaps/>
        </w:rPr>
      </w:pPr>
      <w:r>
        <w:rPr>
          <w:b/>
        </w:rPr>
        <w:t>La société</w:t>
      </w:r>
      <w:r>
        <w:t>…………………………………………………………</w:t>
      </w:r>
    </w:p>
    <w:p>
      <w:pPr>
        <w:pStyle w:val="3"/>
        <w:widowControl w:val="0"/>
        <w:tabs>
          <w:tab w:val="left" w:pos="2260"/>
          <w:tab w:val="left" w:pos="6280"/>
        </w:tabs>
        <w:spacing w:line="360" w:lineRule="auto"/>
        <w:jc w:val="both"/>
        <w:rPr>
          <w:sz w:val="20"/>
          <w:szCs w:val="20"/>
        </w:rPr>
      </w:pPr>
      <w:r>
        <w:t>B.P: ___________________Tel_____________ Fax: ___________________</w:t>
      </w:r>
    </w:p>
    <w:p>
      <w:pPr>
        <w:pStyle w:val="3"/>
        <w:widowControl w:val="0"/>
        <w:tabs>
          <w:tab w:val="left" w:pos="1860"/>
        </w:tabs>
        <w:spacing w:line="360" w:lineRule="auto"/>
        <w:jc w:val="both"/>
        <w:rPr>
          <w:sz w:val="20"/>
          <w:szCs w:val="20"/>
        </w:rPr>
      </w:pPr>
      <w:r>
        <w:t>N°R.C:____________________N°Contribuable:________________________</w:t>
      </w:r>
    </w:p>
    <w:p>
      <w:pPr>
        <w:pStyle w:val="3"/>
        <w:widowControl w:val="0"/>
        <w:spacing w:line="360" w:lineRule="auto"/>
        <w:jc w:val="both"/>
        <w:rPr>
          <w:b/>
          <w:i/>
          <w:smallCaps/>
        </w:rPr>
      </w:pPr>
      <w:r>
        <w:t xml:space="preserve">Représenté par Monsieur / Madame ___________________, son Directeur Général ou son représentant, </w:t>
      </w:r>
    </w:p>
    <w:p>
      <w:pPr>
        <w:pStyle w:val="3"/>
        <w:widowControl w:val="0"/>
        <w:spacing w:line="360" w:lineRule="auto"/>
        <w:jc w:val="both"/>
        <w:rPr>
          <w:color w:val="ED7D31"/>
          <w:sz w:val="20"/>
          <w:szCs w:val="20"/>
        </w:rPr>
      </w:pPr>
      <w:r>
        <w:t>Ci-</w:t>
      </w:r>
      <w:r>
        <w:rPr>
          <w:color w:val="ED7D31"/>
        </w:rPr>
        <w:t xml:space="preserve">après désigné </w:t>
      </w:r>
    </w:p>
    <w:p>
      <w:pPr>
        <w:pStyle w:val="3"/>
        <w:widowControl w:val="0"/>
        <w:spacing w:line="360" w:lineRule="auto"/>
        <w:jc w:val="both"/>
        <w:rPr>
          <w:b/>
          <w:sz w:val="28"/>
          <w:szCs w:val="28"/>
        </w:rPr>
      </w:pPr>
      <w:r>
        <w:rPr>
          <w:b/>
          <w:color w:val="ED7D31"/>
          <w:sz w:val="28"/>
          <w:szCs w:val="28"/>
        </w:rPr>
        <w:t xml:space="preserve">« le Cocontractant </w:t>
      </w:r>
      <w:r>
        <w:rPr>
          <w:b/>
          <w:sz w:val="28"/>
          <w:szCs w:val="28"/>
        </w:rPr>
        <w:t>»</w:t>
      </w:r>
    </w:p>
    <w:p>
      <w:pPr>
        <w:pStyle w:val="3"/>
        <w:widowControl w:val="0"/>
        <w:spacing w:line="360" w:lineRule="auto"/>
        <w:jc w:val="both"/>
        <w:rPr>
          <w:b/>
          <w:i/>
          <w:smallCaps/>
        </w:rPr>
      </w:pPr>
      <w:r>
        <w:rPr>
          <w:b/>
        </w:rPr>
        <w:t>D'autre part</w:t>
      </w:r>
      <w:r>
        <w:t>,</w:t>
      </w:r>
    </w:p>
    <w:p>
      <w:pPr>
        <w:pStyle w:val="3"/>
        <w:widowControl w:val="0"/>
        <w:spacing w:line="360" w:lineRule="auto"/>
        <w:jc w:val="center"/>
        <w:rPr>
          <w:b/>
          <w:i/>
          <w:smallCaps/>
        </w:rPr>
      </w:pPr>
      <w:r>
        <w:t>Il a été convenu et arrêté ce qui suit :</w:t>
      </w:r>
    </w:p>
    <w:p>
      <w:pPr>
        <w:pStyle w:val="3"/>
        <w:rPr>
          <w:b/>
          <w:i/>
          <w:smallCaps/>
        </w:rPr>
      </w:pPr>
      <w:r>
        <w:br w:type="textWrapping"/>
      </w: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widowControl w:val="0"/>
        <w:spacing w:line="360" w:lineRule="auto"/>
        <w:jc w:val="center"/>
        <w:rPr>
          <w:b/>
          <w:smallCaps/>
          <w:color w:val="000000"/>
          <w:sz w:val="32"/>
          <w:szCs w:val="32"/>
        </w:rPr>
      </w:pPr>
      <w:r>
        <w:rPr>
          <w:b/>
          <w:smallCaps/>
          <w:color w:val="000000"/>
          <w:sz w:val="32"/>
          <w:szCs w:val="32"/>
        </w:rPr>
        <w:t>SOMMAIRE</w:t>
      </w:r>
    </w:p>
    <w:p>
      <w:pPr>
        <w:pStyle w:val="3"/>
        <w:widowControl w:val="0"/>
        <w:tabs>
          <w:tab w:val="left" w:pos="1080"/>
        </w:tabs>
        <w:spacing w:line="360" w:lineRule="auto"/>
        <w:jc w:val="both"/>
        <w:rPr>
          <w:b/>
          <w:i/>
          <w:smallCaps/>
        </w:rPr>
      </w:pPr>
      <w:r>
        <w:t>Titre I</w:t>
      </w:r>
      <w:r>
        <w:tab/>
      </w:r>
      <w:r>
        <w:t>: Cahier des Clauses Administratives Particulières (CCAP)</w:t>
      </w:r>
    </w:p>
    <w:p>
      <w:pPr>
        <w:pStyle w:val="3"/>
        <w:widowControl w:val="0"/>
        <w:tabs>
          <w:tab w:val="left" w:pos="1080"/>
        </w:tabs>
        <w:spacing w:line="360" w:lineRule="auto"/>
        <w:jc w:val="both"/>
        <w:rPr>
          <w:b/>
          <w:i/>
          <w:smallCaps/>
        </w:rPr>
      </w:pPr>
      <w:r>
        <w:t>Titre II</w:t>
      </w:r>
      <w:r>
        <w:tab/>
      </w:r>
      <w:r>
        <w:t>: Cahier des Clauses Techniques Particulières (CCTP)</w:t>
      </w:r>
    </w:p>
    <w:p>
      <w:pPr>
        <w:pStyle w:val="3"/>
        <w:widowControl w:val="0"/>
        <w:tabs>
          <w:tab w:val="left" w:pos="1080"/>
        </w:tabs>
        <w:spacing w:line="360" w:lineRule="auto"/>
        <w:jc w:val="both"/>
        <w:rPr>
          <w:b/>
          <w:i/>
          <w:smallCaps/>
        </w:rPr>
      </w:pPr>
      <w:r>
        <w:t>Titre III</w:t>
      </w:r>
      <w:r>
        <w:tab/>
      </w:r>
      <w:r>
        <w:t>: Bordereau des Prix Unitaires(BPU)</w:t>
      </w:r>
    </w:p>
    <w:p>
      <w:pPr>
        <w:pStyle w:val="3"/>
        <w:widowControl w:val="0"/>
        <w:tabs>
          <w:tab w:val="left" w:pos="1080"/>
        </w:tabs>
        <w:spacing w:line="360" w:lineRule="auto"/>
        <w:jc w:val="both"/>
        <w:rPr>
          <w:color w:val="FFC000"/>
          <w:sz w:val="20"/>
          <w:szCs w:val="20"/>
        </w:rPr>
      </w:pPr>
      <w:r>
        <w:t>Titre IV</w:t>
      </w:r>
      <w:r>
        <w:tab/>
      </w:r>
      <w:r>
        <w:t xml:space="preserve">: </w:t>
      </w:r>
      <w:r>
        <w:rPr>
          <w:color w:val="FFC000"/>
        </w:rPr>
        <w:t>Détail Quantitatif et Estimatif (DQE)</w:t>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pageBreakBefore/>
        <w:widowControl w:val="0"/>
        <w:tabs>
          <w:tab w:val="left" w:pos="8647"/>
        </w:tabs>
        <w:spacing w:line="360" w:lineRule="auto"/>
        <w:jc w:val="both"/>
        <w:rPr>
          <w:b/>
          <w:i/>
          <w:smallCaps/>
        </w:rPr>
      </w:pPr>
      <w:r>
        <w:t>Page........................ et Dernière du Marché ou Lettre commande N°</w:t>
      </w:r>
      <w:r>
        <w:rPr>
          <w:u w:val="single"/>
        </w:rPr>
        <w:tab/>
      </w:r>
      <w:r>
        <w:t xml:space="preserve"> /M ou LC///MO/CPM/.......... Passé après Appel d’Offres </w:t>
      </w:r>
      <w:r>
        <w:rPr>
          <w:i/>
        </w:rPr>
        <w:t>[préciser références Appel d’Offres]</w:t>
      </w:r>
    </w:p>
    <w:p>
      <w:pPr>
        <w:pStyle w:val="3"/>
        <w:widowControl w:val="0"/>
        <w:spacing w:line="360" w:lineRule="auto"/>
        <w:jc w:val="both"/>
        <w:rPr>
          <w:b/>
          <w:i/>
          <w:smallCaps/>
        </w:rPr>
      </w:pPr>
      <w:r>
        <w:t>Avec______,</w:t>
      </w:r>
    </w:p>
    <w:p>
      <w:pPr>
        <w:pStyle w:val="3"/>
        <w:widowControl w:val="0"/>
        <w:spacing w:line="360" w:lineRule="auto"/>
        <w:jc w:val="both"/>
        <w:rPr>
          <w:b/>
          <w:i/>
          <w:smallCaps/>
        </w:rPr>
      </w:pPr>
      <w:r>
        <w:rPr>
          <w:i/>
        </w:rPr>
        <w:t>Pour l’exécution des travaux..............................................................................................</w:t>
      </w:r>
    </w:p>
    <w:p>
      <w:pPr>
        <w:pStyle w:val="3"/>
        <w:widowControl w:val="0"/>
        <w:tabs>
          <w:tab w:val="left" w:pos="5180"/>
          <w:tab w:val="left" w:pos="8420"/>
        </w:tabs>
        <w:spacing w:line="360" w:lineRule="auto"/>
        <w:jc w:val="both"/>
        <w:rPr>
          <w:b/>
          <w:i/>
          <w:smallCaps/>
        </w:rPr>
      </w:pPr>
      <w:r>
        <w:rPr>
          <w:i/>
        </w:rPr>
        <w:t>Lot n°</w:t>
      </w:r>
      <w:r>
        <w:rPr>
          <w:i/>
          <w:u w:val="single"/>
        </w:rPr>
        <w:tab/>
      </w:r>
      <w:r>
        <w:rPr>
          <w:i/>
        </w:rPr>
        <w:t>; Réseau</w:t>
      </w:r>
    </w:p>
    <w:tbl>
      <w:tblPr>
        <w:tblStyle w:val="39"/>
        <w:tblW w:w="8736" w:type="dxa"/>
        <w:tblInd w:w="908" w:type="dxa"/>
        <w:tblLayout w:type="fixed"/>
        <w:tblCellMar>
          <w:top w:w="0" w:type="dxa"/>
          <w:left w:w="0" w:type="dxa"/>
          <w:bottom w:w="0" w:type="dxa"/>
          <w:right w:w="0" w:type="dxa"/>
        </w:tblCellMar>
      </w:tblPr>
      <w:tblGrid>
        <w:gridCol w:w="1585"/>
        <w:gridCol w:w="1280"/>
        <w:gridCol w:w="3745"/>
        <w:gridCol w:w="2126"/>
      </w:tblGrid>
      <w:tr>
        <w:tblPrEx>
          <w:tblLayout w:type="fixed"/>
        </w:tblPrEx>
        <w:trPr>
          <w:cantSplit/>
          <w:trHeight w:val="440" w:hRule="atLeast"/>
          <w:tblHeader/>
        </w:trPr>
        <w:tc>
          <w:tcPr>
            <w:tcW w:w="158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rPr>
              <w:t>N° tronçon</w:t>
            </w: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rPr>
              <w:t>N° route</w:t>
            </w:r>
          </w:p>
        </w:tc>
        <w:tc>
          <w:tcPr>
            <w:tcW w:w="37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rPr>
              <w:t>Itinéraire</w:t>
            </w:r>
          </w:p>
        </w:tc>
        <w:tc>
          <w:tcPr>
            <w:tcW w:w="212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vAlign w:val="center"/>
          </w:tcPr>
          <w:p>
            <w:pPr>
              <w:pStyle w:val="3"/>
              <w:widowControl w:val="0"/>
              <w:spacing w:line="360" w:lineRule="auto"/>
              <w:jc w:val="center"/>
              <w:rPr>
                <w:b/>
                <w:i/>
                <w:smallCaps/>
              </w:rPr>
            </w:pPr>
            <w:r>
              <w:rPr>
                <w:b/>
                <w:i/>
              </w:rPr>
              <w:t xml:space="preserve">Longueur </w:t>
            </w:r>
            <w:r>
              <w:rPr>
                <w:i/>
              </w:rPr>
              <w:t>(km)</w:t>
            </w:r>
          </w:p>
        </w:tc>
      </w:tr>
      <w:tr>
        <w:tblPrEx>
          <w:tblLayout w:type="fixed"/>
        </w:tblPrEx>
        <w:trPr>
          <w:cantSplit/>
          <w:trHeight w:val="458" w:hRule="atLeast"/>
          <w:tblHeader/>
        </w:trPr>
        <w:tc>
          <w:tcPr>
            <w:tcW w:w="158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c>
          <w:tcPr>
            <w:tcW w:w="37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c>
          <w:tcPr>
            <w:tcW w:w="212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r>
        <w:tblPrEx>
          <w:tblLayout w:type="fixed"/>
        </w:tblPrEx>
        <w:trPr>
          <w:cantSplit/>
          <w:trHeight w:val="478" w:hRule="atLeast"/>
          <w:tblHeader/>
        </w:trPr>
        <w:tc>
          <w:tcPr>
            <w:tcW w:w="158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c>
          <w:tcPr>
            <w:tcW w:w="128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c>
          <w:tcPr>
            <w:tcW w:w="3745"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c>
          <w:tcPr>
            <w:tcW w:w="2126"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bl>
    <w:p>
      <w:pPr>
        <w:pStyle w:val="3"/>
        <w:widowControl w:val="0"/>
        <w:tabs>
          <w:tab w:val="left" w:pos="2760"/>
        </w:tabs>
        <w:spacing w:line="360" w:lineRule="auto"/>
        <w:jc w:val="both"/>
        <w:rPr>
          <w:b/>
          <w:sz w:val="10"/>
          <w:szCs w:val="10"/>
        </w:rPr>
      </w:pPr>
    </w:p>
    <w:p>
      <w:pPr>
        <w:pStyle w:val="3"/>
        <w:widowControl w:val="0"/>
        <w:tabs>
          <w:tab w:val="left" w:pos="2760"/>
        </w:tabs>
        <w:spacing w:line="360" w:lineRule="auto"/>
        <w:jc w:val="both"/>
        <w:rPr>
          <w:b/>
          <w:i/>
          <w:smallCaps/>
        </w:rPr>
      </w:pPr>
      <w:r>
        <w:rPr>
          <w:b/>
        </w:rPr>
        <w:t>DELAID’EXECUTION</w:t>
      </w:r>
      <w:r>
        <w:rPr>
          <w:b/>
        </w:rPr>
        <w:tab/>
      </w:r>
      <w:r>
        <w:t>: .................................................(........................) mois</w:t>
      </w:r>
    </w:p>
    <w:p>
      <w:pPr>
        <w:pStyle w:val="3"/>
        <w:widowControl w:val="0"/>
        <w:spacing w:line="360" w:lineRule="auto"/>
        <w:jc w:val="both"/>
        <w:rPr>
          <w:b/>
          <w:i/>
          <w:smallCaps/>
        </w:rPr>
      </w:pPr>
      <w:r>
        <w:rPr>
          <w:b/>
        </w:rPr>
        <w:t xml:space="preserve">Montant du marché </w:t>
      </w:r>
      <w:r>
        <w:t xml:space="preserve">ou Lettre commande </w:t>
      </w:r>
      <w:r>
        <w:rPr>
          <w:b/>
        </w:rPr>
        <w:t>en FCFA :</w:t>
      </w:r>
    </w:p>
    <w:tbl>
      <w:tblPr>
        <w:tblStyle w:val="40"/>
        <w:tblW w:w="6303" w:type="dxa"/>
        <w:tblInd w:w="1990" w:type="dxa"/>
        <w:tblLayout w:type="fixed"/>
        <w:tblCellMar>
          <w:top w:w="0" w:type="dxa"/>
          <w:left w:w="0" w:type="dxa"/>
          <w:bottom w:w="0" w:type="dxa"/>
          <w:right w:w="0" w:type="dxa"/>
        </w:tblCellMar>
      </w:tblPr>
      <w:tblGrid>
        <w:gridCol w:w="3043"/>
        <w:gridCol w:w="3260"/>
      </w:tblGrid>
      <w:tr>
        <w:tblPrEx>
          <w:tblLayout w:type="fixed"/>
        </w:tblPrEx>
        <w:trPr>
          <w:cantSplit/>
          <w:trHeight w:val="375" w:hRule="atLeast"/>
          <w:tblHeader/>
        </w:trPr>
        <w:tc>
          <w:tcPr>
            <w:tcW w:w="3043"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t>TTC</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r>
        <w:tblPrEx>
          <w:tblLayout w:type="fixed"/>
        </w:tblPrEx>
        <w:trPr>
          <w:cantSplit/>
          <w:trHeight w:val="373" w:hRule="atLeast"/>
          <w:tblHeader/>
        </w:trPr>
        <w:tc>
          <w:tcPr>
            <w:tcW w:w="3043"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t>HTVA</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r>
        <w:tblPrEx>
          <w:tblLayout w:type="fixed"/>
        </w:tblPrEx>
        <w:trPr>
          <w:cantSplit/>
          <w:trHeight w:val="373" w:hRule="atLeast"/>
          <w:tblHeader/>
        </w:trPr>
        <w:tc>
          <w:tcPr>
            <w:tcW w:w="3043"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t>TVA</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r>
        <w:tblPrEx>
          <w:tblLayout w:type="fixed"/>
        </w:tblPrEx>
        <w:trPr>
          <w:cantSplit/>
          <w:trHeight w:val="373" w:hRule="atLeast"/>
          <w:tblHeader/>
        </w:trPr>
        <w:tc>
          <w:tcPr>
            <w:tcW w:w="3043"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t>AIR</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r>
        <w:tblPrEx>
          <w:tblLayout w:type="fixed"/>
        </w:tblPrEx>
        <w:trPr>
          <w:cantSplit/>
          <w:trHeight w:val="437" w:hRule="atLeast"/>
          <w:tblHeader/>
        </w:trPr>
        <w:tc>
          <w:tcPr>
            <w:tcW w:w="3043"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r>
              <w:t>Net à mandater</w:t>
            </w:r>
          </w:p>
        </w:tc>
        <w:tc>
          <w:tcPr>
            <w:tcW w:w="3260" w:type="dxa"/>
            <w:tcBorders>
              <w:top w:val="single" w:color="221F1F" w:sz="4" w:space="0"/>
              <w:left w:val="single" w:color="221F1F" w:sz="4" w:space="0"/>
              <w:bottom w:val="single" w:color="221F1F" w:sz="4" w:space="0"/>
              <w:right w:val="single" w:color="221F1F" w:sz="4" w:space="0"/>
            </w:tcBorders>
            <w:shd w:val="clear" w:color="auto" w:fill="auto"/>
            <w:tcMar>
              <w:top w:w="0" w:type="dxa"/>
              <w:left w:w="0" w:type="dxa"/>
              <w:bottom w:w="0" w:type="dxa"/>
              <w:right w:w="0" w:type="dxa"/>
            </w:tcMar>
          </w:tcPr>
          <w:p>
            <w:pPr>
              <w:pStyle w:val="3"/>
              <w:widowControl w:val="0"/>
              <w:spacing w:line="360" w:lineRule="auto"/>
              <w:jc w:val="both"/>
              <w:rPr>
                <w:b/>
                <w:i/>
                <w:smallCaps/>
              </w:rPr>
            </w:pPr>
          </w:p>
        </w:tc>
      </w:tr>
    </w:tbl>
    <w:p>
      <w:pPr>
        <w:pStyle w:val="3"/>
        <w:widowControl w:val="0"/>
        <w:spacing w:line="360" w:lineRule="auto"/>
        <w:jc w:val="center"/>
        <w:rPr>
          <w:sz w:val="10"/>
          <w:szCs w:val="10"/>
        </w:rPr>
      </w:pPr>
    </w:p>
    <w:p>
      <w:pPr>
        <w:pStyle w:val="3"/>
        <w:widowControl w:val="0"/>
        <w:spacing w:line="360" w:lineRule="auto"/>
        <w:jc w:val="center"/>
        <w:rPr>
          <w:b/>
          <w:i/>
          <w:smallCaps/>
        </w:rPr>
      </w:pPr>
      <w:r>
        <w:rPr>
          <w:b/>
        </w:rPr>
        <w:t>Lu et accepté par le prestataire</w:t>
      </w:r>
    </w:p>
    <w:p>
      <w:pPr>
        <w:pStyle w:val="3"/>
        <w:widowControl w:val="0"/>
        <w:spacing w:line="360" w:lineRule="auto"/>
        <w:jc w:val="center"/>
        <w:rPr>
          <w:b/>
          <w:i/>
          <w:smallCaps/>
        </w:rPr>
      </w:pPr>
      <w:r>
        <w:rPr>
          <w:i/>
        </w:rPr>
        <w:t>[Lieu], le..........................................................................</w:t>
      </w:r>
    </w:p>
    <w:p>
      <w:pPr>
        <w:pStyle w:val="3"/>
        <w:widowControl w:val="0"/>
        <w:spacing w:line="360" w:lineRule="auto"/>
        <w:jc w:val="center"/>
        <w:rPr>
          <w:sz w:val="10"/>
          <w:szCs w:val="10"/>
        </w:rPr>
      </w:pPr>
    </w:p>
    <w:p>
      <w:pPr>
        <w:pStyle w:val="3"/>
        <w:widowControl w:val="0"/>
        <w:spacing w:line="360" w:lineRule="auto"/>
        <w:jc w:val="center"/>
        <w:rPr>
          <w:b/>
          <w:i/>
          <w:smallCaps/>
        </w:rPr>
      </w:pPr>
      <w:r>
        <w:t>Signature</w:t>
      </w:r>
    </w:p>
    <w:p>
      <w:pPr>
        <w:pStyle w:val="3"/>
        <w:widowControl w:val="0"/>
        <w:spacing w:line="360" w:lineRule="auto"/>
        <w:jc w:val="center"/>
        <w:rPr>
          <w:sz w:val="10"/>
          <w:szCs w:val="10"/>
        </w:rPr>
      </w:pPr>
    </w:p>
    <w:p>
      <w:pPr>
        <w:pStyle w:val="3"/>
        <w:widowControl w:val="0"/>
        <w:spacing w:line="360" w:lineRule="auto"/>
        <w:jc w:val="center"/>
        <w:rPr>
          <w:b/>
          <w:i/>
          <w:smallCaps/>
        </w:rPr>
      </w:pPr>
      <w:r>
        <w:rPr>
          <w:b/>
        </w:rPr>
        <w:t>Signé par ____________________ [Maître d’Ouvrage ou Maître d’Ouvrage Délégué]_______</w:t>
      </w:r>
    </w:p>
    <w:p>
      <w:pPr>
        <w:pStyle w:val="3"/>
        <w:widowControl w:val="0"/>
        <w:spacing w:line="360" w:lineRule="auto"/>
        <w:jc w:val="center"/>
        <w:rPr>
          <w:b/>
          <w:i/>
          <w:smallCaps/>
        </w:rPr>
      </w:pPr>
      <w:r>
        <w:rPr>
          <w:i/>
        </w:rPr>
        <w:t>[Lieu], le..........................................................................</w:t>
      </w:r>
    </w:p>
    <w:p>
      <w:pPr>
        <w:pStyle w:val="3"/>
        <w:widowControl w:val="0"/>
        <w:spacing w:line="360" w:lineRule="auto"/>
        <w:jc w:val="center"/>
        <w:rPr>
          <w:sz w:val="10"/>
          <w:szCs w:val="10"/>
        </w:rPr>
      </w:pPr>
    </w:p>
    <w:p>
      <w:pPr>
        <w:pStyle w:val="3"/>
        <w:widowControl w:val="0"/>
        <w:spacing w:line="360" w:lineRule="auto"/>
        <w:jc w:val="center"/>
        <w:rPr>
          <w:b/>
          <w:i/>
          <w:smallCaps/>
        </w:rPr>
      </w:pPr>
      <w:r>
        <w:t>Signature</w:t>
      </w:r>
    </w:p>
    <w:p>
      <w:pPr>
        <w:pStyle w:val="3"/>
        <w:widowControl w:val="0"/>
        <w:spacing w:line="360" w:lineRule="auto"/>
        <w:jc w:val="center"/>
        <w:rPr>
          <w:sz w:val="10"/>
          <w:szCs w:val="10"/>
        </w:rPr>
      </w:pPr>
    </w:p>
    <w:p>
      <w:pPr>
        <w:pStyle w:val="3"/>
        <w:widowControl w:val="0"/>
        <w:spacing w:line="360" w:lineRule="auto"/>
        <w:jc w:val="center"/>
        <w:rPr>
          <w:b/>
          <w:i/>
          <w:smallCaps/>
        </w:rPr>
      </w:pPr>
      <w:r>
        <w:rPr>
          <w:b/>
        </w:rPr>
        <w:t>Enregistrement</w:t>
      </w:r>
    </w:p>
    <w:p>
      <w:pPr>
        <w:pStyle w:val="3"/>
        <w:widowControl w:val="0"/>
        <w:spacing w:line="360" w:lineRule="auto"/>
        <w:jc w:val="center"/>
        <w:rPr>
          <w:b/>
          <w:i/>
          <w:smallCaps/>
        </w:rPr>
      </w:pPr>
      <w:r>
        <w:rPr>
          <w:i/>
        </w:rPr>
        <w:t>[Lieu], le..........................................................................</w:t>
      </w:r>
    </w:p>
    <w:p>
      <w:pPr>
        <w:pStyle w:val="3"/>
        <w:widowControl w:val="0"/>
        <w:spacing w:line="360" w:lineRule="auto"/>
        <w:jc w:val="center"/>
        <w:rPr>
          <w:b/>
          <w:i/>
          <w:smallCaps/>
        </w:rPr>
      </w:pPr>
    </w:p>
    <w:p>
      <w:pPr>
        <w:pStyle w:val="3"/>
        <w:widowControl w:val="0"/>
        <w:spacing w:line="360" w:lineRule="auto"/>
        <w:jc w:val="center"/>
        <w:rPr>
          <w:b/>
          <w:i/>
          <w:smallCaps/>
        </w:rPr>
      </w:pPr>
    </w:p>
    <w:p>
      <w:pPr>
        <w:pStyle w:val="3"/>
        <w:rPr>
          <w:b/>
          <w:i/>
          <w:smallCaps/>
        </w:rPr>
      </w:pPr>
      <w:r>
        <w:br w:type="textWrapping"/>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240" w:after="240" w:line="360" w:lineRule="auto"/>
        <w:ind w:left="851"/>
        <w:jc w:val="center"/>
        <w:rPr>
          <w:b/>
          <w:smallCaps/>
          <w:sz w:val="36"/>
          <w:szCs w:val="36"/>
        </w:rPr>
      </w:pPr>
      <w:bookmarkStart w:id="190" w:name="_w7b24w" w:colFirst="0" w:colLast="0"/>
      <w:bookmarkEnd w:id="190"/>
      <w:r>
        <w:rPr>
          <w:b/>
          <w:smallCaps/>
          <w:sz w:val="36"/>
          <w:szCs w:val="36"/>
        </w:rPr>
        <w:t xml:space="preserve">PIECE N°10 </w:t>
      </w:r>
    </w:p>
    <w:p>
      <w:pPr>
        <w:pStyle w:val="3"/>
        <w:widowControl w:val="0"/>
        <w:ind w:left="851" w:firstLine="1"/>
        <w:jc w:val="center"/>
        <w:rPr>
          <w:b/>
          <w:smallCaps/>
          <w:color w:val="000000"/>
          <w:sz w:val="36"/>
          <w:szCs w:val="36"/>
        </w:rPr>
      </w:pPr>
      <w:r>
        <w:rPr>
          <w:b/>
          <w:smallCaps/>
          <w:color w:val="000000"/>
          <w:sz w:val="36"/>
          <w:szCs w:val="36"/>
        </w:rPr>
        <w:t>MODÈLES OU FORMULAIRES TYPES À UTILISER PAR LES SOUMISSIONNAIRES</w:t>
      </w:r>
    </w:p>
    <w:p>
      <w:pPr>
        <w:pStyle w:val="3"/>
        <w:widowControl w:val="0"/>
        <w:spacing w:line="360" w:lineRule="auto"/>
        <w:jc w:val="both"/>
        <w:rPr>
          <w:sz w:val="20"/>
          <w:szCs w:val="20"/>
        </w:rPr>
      </w:pPr>
    </w:p>
    <w:p>
      <w:pPr>
        <w:pStyle w:val="3"/>
        <w:rPr>
          <w:sz w:val="20"/>
          <w:szCs w:val="20"/>
        </w:rPr>
      </w:pPr>
      <w:r>
        <w:br w:type="textWrapping"/>
      </w:r>
    </w:p>
    <w:p>
      <w:pPr>
        <w:pStyle w:val="3"/>
        <w:rPr>
          <w:sz w:val="20"/>
          <w:szCs w:val="20"/>
        </w:rPr>
      </w:pPr>
    </w:p>
    <w:p>
      <w:pPr>
        <w:pStyle w:val="3"/>
        <w:rPr>
          <w:sz w:val="20"/>
          <w:szCs w:val="20"/>
        </w:rPr>
      </w:pPr>
    </w:p>
    <w:p>
      <w:pPr>
        <w:pStyle w:val="3"/>
        <w:rPr>
          <w:sz w:val="20"/>
          <w:szCs w:val="20"/>
        </w:rPr>
      </w:pPr>
    </w:p>
    <w:p>
      <w:pPr>
        <w:pStyle w:val="3"/>
        <w:rPr>
          <w:b/>
          <w:i/>
          <w:smallCaps/>
        </w:rPr>
      </w:pPr>
    </w:p>
    <w:p>
      <w:pPr>
        <w:pStyle w:val="3"/>
        <w:widowControl w:val="0"/>
        <w:spacing w:line="360" w:lineRule="auto"/>
        <w:jc w:val="center"/>
        <w:rPr>
          <w:b/>
          <w:smallCaps/>
          <w:color w:val="000000"/>
          <w:sz w:val="32"/>
          <w:szCs w:val="32"/>
        </w:rPr>
      </w:pPr>
      <w:r>
        <w:rPr>
          <w:b/>
          <w:smallCaps/>
          <w:color w:val="000000"/>
          <w:sz w:val="32"/>
          <w:szCs w:val="32"/>
        </w:rPr>
        <w:t>TABLE DES MODÈLES</w:t>
      </w:r>
    </w:p>
    <w:p>
      <w:pPr>
        <w:pStyle w:val="3"/>
        <w:widowControl w:val="0"/>
        <w:spacing w:line="276" w:lineRule="auto"/>
        <w:rPr>
          <w:color w:val="000000"/>
        </w:rPr>
      </w:pPr>
      <w:r>
        <w:rPr>
          <w:color w:val="000000"/>
        </w:rPr>
        <w:t>Annexe n° 1: Modèle Déclaration d’intention de soumissionner</w:t>
      </w:r>
    </w:p>
    <w:sdt>
      <w:sdtPr>
        <w:id w:val="5864892"/>
      </w:sdtPr>
      <w:sdtEndPr>
        <w:rPr>
          <w:sz w:val="28"/>
          <w:szCs w:val="28"/>
        </w:rPr>
      </w:sdtEndPr>
      <w:sdtContent>
        <w:p>
          <w:pPr>
            <w:pStyle w:val="3"/>
            <w:tabs>
              <w:tab w:val="left" w:pos="1540"/>
              <w:tab w:val="right" w:pos="9622"/>
            </w:tabs>
            <w:spacing w:after="120" w:line="360" w:lineRule="auto"/>
            <w:ind w:left="1560" w:hanging="1320"/>
            <w:rPr>
              <w:color w:val="000000"/>
              <w:sz w:val="28"/>
              <w:szCs w:val="28"/>
            </w:rPr>
          </w:pPr>
          <w:r>
            <w:rPr>
              <w:sz w:val="28"/>
              <w:szCs w:val="28"/>
            </w:rPr>
            <w:fldChar w:fldCharType="begin"/>
          </w:r>
          <w:r>
            <w:rPr>
              <w:sz w:val="28"/>
              <w:szCs w:val="28"/>
            </w:rPr>
            <w:instrText xml:space="preserve"> TOC \h \u \z \t "Heading 1,1,Heading 2,2,Heading 3,3,Heading 4,4,Heading 5,5,Heading 6,6,"</w:instrText>
          </w:r>
          <w:r>
            <w:rPr>
              <w:sz w:val="28"/>
              <w:szCs w:val="28"/>
            </w:rPr>
            <w:fldChar w:fldCharType="separate"/>
          </w:r>
          <w:r>
            <w:rPr>
              <w:color w:val="000000"/>
              <w:sz w:val="28"/>
              <w:szCs w:val="28"/>
            </w:rPr>
            <w:tab/>
          </w:r>
          <w:r>
            <w:rPr>
              <w:sz w:val="28"/>
              <w:szCs w:val="28"/>
            </w:rPr>
            <w:fldChar w:fldCharType="begin"/>
          </w:r>
          <w:r>
            <w:rPr>
              <w:sz w:val="28"/>
              <w:szCs w:val="28"/>
            </w:rPr>
            <w:instrText xml:space="preserve"> HYPERLINK \l "_4fbwdob" </w:instrText>
          </w:r>
          <w:r>
            <w:rPr>
              <w:sz w:val="28"/>
              <w:szCs w:val="28"/>
            </w:rPr>
            <w:fldChar w:fldCharType="separate"/>
          </w:r>
          <w:r>
            <w:rPr>
              <w:color w:val="000000"/>
              <w:sz w:val="28"/>
              <w:szCs w:val="28"/>
            </w:rPr>
            <w:t>128</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2: Modèle de soumission</w:t>
          </w:r>
          <w:r>
            <w:rPr>
              <w:color w:val="000000"/>
              <w:sz w:val="28"/>
              <w:szCs w:val="28"/>
            </w:rPr>
            <w:tab/>
          </w:r>
          <w:r>
            <w:rPr>
              <w:sz w:val="28"/>
              <w:szCs w:val="28"/>
            </w:rPr>
            <w:fldChar w:fldCharType="begin"/>
          </w:r>
          <w:r>
            <w:rPr>
              <w:sz w:val="28"/>
              <w:szCs w:val="28"/>
            </w:rPr>
            <w:instrText xml:space="preserve"> PAGEREF _4fbwdob \h </w:instrText>
          </w:r>
          <w:r>
            <w:rPr>
              <w:sz w:val="28"/>
              <w:szCs w:val="28"/>
            </w:rPr>
            <w:fldChar w:fldCharType="separate"/>
          </w:r>
          <w:r>
            <w:rPr>
              <w:color w:val="000000"/>
              <w:sz w:val="28"/>
              <w:szCs w:val="28"/>
            </w:rPr>
            <w:t>128</w:t>
          </w:r>
          <w:r>
            <w:fldChar w:fldCharType="begin"/>
          </w:r>
          <w:r>
            <w:instrText xml:space="preserve"> HYPERLINK \l "_4fbwdob" </w:instrText>
          </w:r>
          <w:r>
            <w:fldChar w:fldCharType="separate"/>
          </w:r>
          <w:r>
            <w:fldChar w:fldCharType="end"/>
          </w:r>
        </w:p>
        <w:p>
          <w:pPr>
            <w:pStyle w:val="3"/>
            <w:tabs>
              <w:tab w:val="left" w:pos="1540"/>
              <w:tab w:val="right" w:pos="9622"/>
            </w:tabs>
            <w:spacing w:after="120" w:line="360" w:lineRule="auto"/>
            <w:ind w:left="1560" w:hanging="1320"/>
            <w:rPr>
              <w:color w:val="000000"/>
              <w:sz w:val="28"/>
              <w:szCs w:val="28"/>
            </w:rPr>
          </w:pPr>
          <w:bookmarkStart w:id="191" w:name="_3g6yksp" w:colFirst="0" w:colLast="0"/>
          <w:bookmarkEnd w:id="191"/>
          <w:r>
            <w:rPr>
              <w:sz w:val="28"/>
              <w:szCs w:val="28"/>
            </w:rPr>
            <w:fldChar w:fldCharType="end"/>
          </w:r>
          <w:r>
            <w:rPr>
              <w:color w:val="000000"/>
              <w:sz w:val="28"/>
              <w:szCs w:val="28"/>
            </w:rPr>
            <w:t>Annexe n° 3: Modèle de caution de soumission</w:t>
          </w:r>
          <w:r>
            <w:rPr>
              <w:color w:val="000000"/>
              <w:sz w:val="28"/>
              <w:szCs w:val="28"/>
            </w:rPr>
            <w:tab/>
          </w:r>
          <w:r>
            <w:rPr>
              <w:sz w:val="28"/>
              <w:szCs w:val="28"/>
            </w:rPr>
            <w:fldChar w:fldCharType="begin"/>
          </w:r>
          <w:r>
            <w:rPr>
              <w:sz w:val="28"/>
              <w:szCs w:val="28"/>
            </w:rPr>
            <w:instrText xml:space="preserve"> PAGEREF _2uh6nw4 \h </w:instrText>
          </w:r>
          <w:r>
            <w:rPr>
              <w:sz w:val="28"/>
              <w:szCs w:val="28"/>
            </w:rPr>
            <w:fldChar w:fldCharType="separate"/>
          </w:r>
          <w:r>
            <w:rPr>
              <w:color w:val="000000"/>
              <w:sz w:val="28"/>
              <w:szCs w:val="28"/>
            </w:rPr>
            <w:t>130</w:t>
          </w:r>
          <w:r>
            <w:fldChar w:fldCharType="begin"/>
          </w:r>
          <w:r>
            <w:instrText xml:space="preserve"> HYPERLINK \l "_2uh6nw4" </w:instrText>
          </w:r>
          <w:r>
            <w:fldChar w:fldCharType="separate"/>
          </w:r>
          <w:r>
            <w:fldChar w:fldCharType="end"/>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4: Modèle de cautionnement définitif</w:t>
          </w:r>
          <w:r>
            <w:rPr>
              <w:color w:val="000000"/>
              <w:sz w:val="28"/>
              <w:szCs w:val="28"/>
            </w:rPr>
            <w:tab/>
          </w:r>
          <w:r>
            <w:rPr>
              <w:sz w:val="28"/>
              <w:szCs w:val="28"/>
            </w:rPr>
            <w:fldChar w:fldCharType="begin"/>
          </w:r>
          <w:r>
            <w:rPr>
              <w:sz w:val="28"/>
              <w:szCs w:val="28"/>
            </w:rPr>
            <w:instrText xml:space="preserve"> PAGEREF _19mgy3x \h </w:instrText>
          </w:r>
          <w:r>
            <w:rPr>
              <w:sz w:val="28"/>
              <w:szCs w:val="28"/>
            </w:rPr>
            <w:fldChar w:fldCharType="separate"/>
          </w:r>
          <w:r>
            <w:rPr>
              <w:color w:val="000000"/>
              <w:sz w:val="28"/>
              <w:szCs w:val="28"/>
            </w:rPr>
            <w:t>130</w:t>
          </w:r>
          <w:r>
            <w:fldChar w:fldCharType="begin"/>
          </w:r>
          <w:r>
            <w:instrText xml:space="preserve"> HYPERLINK \l "_19mgy3x" </w:instrText>
          </w:r>
          <w:r>
            <w:fldChar w:fldCharType="separate"/>
          </w:r>
          <w:r>
            <w:fldChar w:fldCharType="end"/>
          </w:r>
        </w:p>
        <w:p>
          <w:pPr>
            <w:pStyle w:val="3"/>
            <w:tabs>
              <w:tab w:val="left" w:pos="1540"/>
              <w:tab w:val="right" w:pos="9622"/>
            </w:tabs>
            <w:spacing w:after="120" w:line="360" w:lineRule="auto"/>
            <w:ind w:left="1560" w:hanging="1320"/>
            <w:rPr>
              <w:color w:val="000000"/>
              <w:sz w:val="28"/>
              <w:szCs w:val="28"/>
            </w:rPr>
          </w:pPr>
          <w:bookmarkStart w:id="192" w:name="_1vc8v0i" w:colFirst="0" w:colLast="0"/>
          <w:bookmarkEnd w:id="192"/>
          <w:r>
            <w:rPr>
              <w:sz w:val="28"/>
              <w:szCs w:val="28"/>
            </w:rPr>
            <w:fldChar w:fldCharType="end"/>
          </w:r>
          <w:r>
            <w:rPr>
              <w:color w:val="000000"/>
              <w:sz w:val="28"/>
              <w:szCs w:val="28"/>
            </w:rPr>
            <w:t>Annexe n° 5: Modèle de caution d'avance de démarrage</w:t>
          </w:r>
          <w:r>
            <w:rPr>
              <w:color w:val="000000"/>
              <w:sz w:val="28"/>
              <w:szCs w:val="28"/>
            </w:rPr>
            <w:tab/>
          </w:r>
          <w:r>
            <w:rPr>
              <w:sz w:val="28"/>
              <w:szCs w:val="28"/>
            </w:rPr>
            <w:fldChar w:fldCharType="begin"/>
          </w:r>
          <w:r>
            <w:rPr>
              <w:sz w:val="28"/>
              <w:szCs w:val="28"/>
            </w:rPr>
            <w:instrText xml:space="preserve"> PAGEREF _3tm4grq \h </w:instrText>
          </w:r>
          <w:r>
            <w:rPr>
              <w:sz w:val="28"/>
              <w:szCs w:val="28"/>
            </w:rPr>
            <w:fldChar w:fldCharType="separate"/>
          </w:r>
          <w:r>
            <w:rPr>
              <w:color w:val="000000"/>
              <w:sz w:val="28"/>
              <w:szCs w:val="28"/>
            </w:rPr>
            <w:t>134</w:t>
          </w:r>
          <w:r>
            <w:fldChar w:fldCharType="begin"/>
          </w:r>
          <w:r>
            <w:instrText xml:space="preserve"> HYPERLINK \l "_3tm4grq" </w:instrText>
          </w:r>
          <w:r>
            <w:fldChar w:fldCharType="separate"/>
          </w:r>
          <w:r>
            <w:fldChar w:fldCharType="end"/>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n°6 : Modèle de caution de bonne exécution (retenue de garantie)</w:t>
          </w:r>
          <w:r>
            <w:rPr>
              <w:color w:val="000000"/>
              <w:sz w:val="28"/>
              <w:szCs w:val="28"/>
            </w:rPr>
            <w:tab/>
          </w:r>
          <w:r>
            <w:rPr>
              <w:sz w:val="28"/>
              <w:szCs w:val="28"/>
            </w:rPr>
            <w:fldChar w:fldCharType="begin"/>
          </w:r>
          <w:r>
            <w:rPr>
              <w:sz w:val="28"/>
              <w:szCs w:val="28"/>
            </w:rPr>
            <w:instrText xml:space="preserve"> HYPERLINK \l "_28reqzj" </w:instrText>
          </w:r>
          <w:r>
            <w:rPr>
              <w:sz w:val="28"/>
              <w:szCs w:val="28"/>
            </w:rPr>
            <w:fldChar w:fldCharType="separate"/>
          </w:r>
          <w:r>
            <w:rPr>
              <w:color w:val="000000"/>
              <w:sz w:val="28"/>
              <w:szCs w:val="28"/>
            </w:rPr>
            <w:t>135</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 xml:space="preserve">Annexe n°7 : Modèle </w:t>
          </w:r>
          <w:r>
            <w:rPr>
              <w:i/>
              <w:color w:val="000000"/>
              <w:sz w:val="28"/>
              <w:szCs w:val="28"/>
            </w:rPr>
            <w:t xml:space="preserve">de </w:t>
          </w:r>
          <w:r>
            <w:rPr>
              <w:color w:val="000000"/>
              <w:sz w:val="28"/>
              <w:szCs w:val="28"/>
            </w:rPr>
            <w:t>Lettre de soumission de la proposition technique</w:t>
          </w:r>
          <w:r>
            <w:rPr>
              <w:color w:val="000000"/>
              <w:sz w:val="28"/>
              <w:szCs w:val="28"/>
            </w:rPr>
            <w:tab/>
          </w:r>
          <w:r>
            <w:rPr>
              <w:sz w:val="28"/>
              <w:szCs w:val="28"/>
            </w:rPr>
            <w:fldChar w:fldCharType="begin"/>
          </w:r>
          <w:r>
            <w:rPr>
              <w:sz w:val="28"/>
              <w:szCs w:val="28"/>
            </w:rPr>
            <w:instrText xml:space="preserve"> HYPERLINK \l "_28reqzj" </w:instrText>
          </w:r>
          <w:r>
            <w:rPr>
              <w:sz w:val="28"/>
              <w:szCs w:val="28"/>
            </w:rPr>
            <w:fldChar w:fldCharType="separate"/>
          </w:r>
          <w:r>
            <w:rPr>
              <w:color w:val="000000"/>
              <w:sz w:val="28"/>
              <w:szCs w:val="28"/>
            </w:rPr>
            <w:t>135</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8: Modèle de Cadre du planning</w:t>
          </w:r>
          <w:r>
            <w:rPr>
              <w:color w:val="000000"/>
              <w:sz w:val="28"/>
              <w:szCs w:val="28"/>
            </w:rPr>
            <w:tab/>
          </w:r>
          <w:r>
            <w:rPr>
              <w:sz w:val="28"/>
              <w:szCs w:val="28"/>
            </w:rPr>
            <w:fldChar w:fldCharType="begin"/>
          </w:r>
          <w:r>
            <w:rPr>
              <w:sz w:val="28"/>
              <w:szCs w:val="28"/>
            </w:rPr>
            <w:instrText xml:space="preserve"> HYPERLINK \l "_nwp17c" </w:instrText>
          </w:r>
          <w:r>
            <w:rPr>
              <w:sz w:val="28"/>
              <w:szCs w:val="28"/>
            </w:rPr>
            <w:fldChar w:fldCharType="separate"/>
          </w:r>
          <w:r>
            <w:rPr>
              <w:color w:val="000000"/>
              <w:sz w:val="28"/>
              <w:szCs w:val="28"/>
            </w:rPr>
            <w:t>137</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9: Modèle de liste de personnels à mobiliser</w:t>
          </w:r>
          <w:r>
            <w:rPr>
              <w:color w:val="000000"/>
              <w:sz w:val="28"/>
              <w:szCs w:val="28"/>
            </w:rPr>
            <w:tab/>
          </w:r>
          <w:r>
            <w:rPr>
              <w:sz w:val="28"/>
              <w:szCs w:val="28"/>
            </w:rPr>
            <w:fldChar w:fldCharType="begin"/>
          </w:r>
          <w:r>
            <w:rPr>
              <w:sz w:val="28"/>
              <w:szCs w:val="28"/>
            </w:rPr>
            <w:instrText xml:space="preserve"> PAGEREF _2uh6nw4 \h </w:instrText>
          </w:r>
          <w:r>
            <w:rPr>
              <w:sz w:val="28"/>
              <w:szCs w:val="28"/>
            </w:rPr>
            <w:fldChar w:fldCharType="separate"/>
          </w:r>
          <w:r>
            <w:rPr>
              <w:color w:val="000000"/>
              <w:sz w:val="28"/>
              <w:szCs w:val="28"/>
            </w:rPr>
            <w:t>130</w:t>
          </w:r>
          <w:r>
            <w:fldChar w:fldCharType="begin"/>
          </w:r>
          <w:r>
            <w:instrText xml:space="preserve"> HYPERLINK \l "_2uh6nw4" </w:instrText>
          </w:r>
          <w:r>
            <w:fldChar w:fldCharType="separate"/>
          </w:r>
          <w:r>
            <w:fldChar w:fldCharType="end"/>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10: Modèle de fiches de prestations susceptibles d'etre sous traitees</w:t>
          </w:r>
          <w:r>
            <w:rPr>
              <w:color w:val="000000"/>
              <w:sz w:val="28"/>
              <w:szCs w:val="28"/>
            </w:rPr>
            <w:tab/>
          </w:r>
          <w:r>
            <w:rPr>
              <w:sz w:val="28"/>
              <w:szCs w:val="28"/>
            </w:rPr>
            <w:fldChar w:fldCharType="begin"/>
          </w:r>
          <w:r>
            <w:rPr>
              <w:sz w:val="28"/>
              <w:szCs w:val="28"/>
            </w:rPr>
            <w:instrText xml:space="preserve"> HYPERLINK \l "_2uh6nw4" </w:instrText>
          </w:r>
          <w:r>
            <w:rPr>
              <w:sz w:val="28"/>
              <w:szCs w:val="28"/>
            </w:rPr>
            <w:fldChar w:fldCharType="separate"/>
          </w:r>
          <w:r>
            <w:rPr>
              <w:color w:val="000000"/>
              <w:sz w:val="28"/>
              <w:szCs w:val="28"/>
            </w:rPr>
            <w:t>130</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11: Modèle de CV de personnels à mobiliser</w:t>
          </w:r>
          <w:r>
            <w:rPr>
              <w:color w:val="000000"/>
              <w:sz w:val="28"/>
              <w:szCs w:val="28"/>
            </w:rPr>
            <w:tab/>
          </w:r>
          <w:r>
            <w:rPr>
              <w:sz w:val="28"/>
              <w:szCs w:val="28"/>
            </w:rPr>
            <w:fldChar w:fldCharType="begin"/>
          </w:r>
          <w:r>
            <w:rPr>
              <w:sz w:val="28"/>
              <w:szCs w:val="28"/>
            </w:rPr>
            <w:instrText xml:space="preserve"> HYPERLINK \l "_2uh6nw4" </w:instrText>
          </w:r>
          <w:r>
            <w:rPr>
              <w:sz w:val="28"/>
              <w:szCs w:val="28"/>
            </w:rPr>
            <w:fldChar w:fldCharType="separate"/>
          </w:r>
          <w:r>
            <w:rPr>
              <w:color w:val="000000"/>
              <w:sz w:val="28"/>
              <w:szCs w:val="28"/>
            </w:rPr>
            <w:t>130</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 xml:space="preserve">Annexe n° 12: Modèle de tableaux de référence du candidat </w:t>
          </w:r>
          <w:r>
            <w:rPr>
              <w:color w:val="000000"/>
              <w:sz w:val="28"/>
              <w:szCs w:val="28"/>
            </w:rPr>
            <w:tab/>
          </w:r>
          <w:r>
            <w:rPr>
              <w:sz w:val="28"/>
              <w:szCs w:val="28"/>
            </w:rPr>
            <w:fldChar w:fldCharType="begin"/>
          </w:r>
          <w:r>
            <w:rPr>
              <w:sz w:val="28"/>
              <w:szCs w:val="28"/>
            </w:rPr>
            <w:instrText xml:space="preserve"> HYPERLINK \l "_2uh6nw4" </w:instrText>
          </w:r>
          <w:r>
            <w:rPr>
              <w:sz w:val="28"/>
              <w:szCs w:val="28"/>
            </w:rPr>
            <w:fldChar w:fldCharType="separate"/>
          </w:r>
          <w:r>
            <w:rPr>
              <w:color w:val="000000"/>
              <w:sz w:val="28"/>
              <w:szCs w:val="28"/>
            </w:rPr>
            <w:t>130</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13: Modèle de descriptif de la méthodologie et du plan de travail</w:t>
          </w:r>
          <w:r>
            <w:rPr>
              <w:color w:val="000000"/>
              <w:sz w:val="28"/>
              <w:szCs w:val="28"/>
            </w:rPr>
            <w:tab/>
          </w:r>
          <w:r>
            <w:rPr>
              <w:sz w:val="28"/>
              <w:szCs w:val="28"/>
            </w:rPr>
            <w:fldChar w:fldCharType="begin"/>
          </w:r>
          <w:r>
            <w:rPr>
              <w:sz w:val="28"/>
              <w:szCs w:val="28"/>
            </w:rPr>
            <w:instrText xml:space="preserve"> HYPERLINK \l "_2uh6nw4" </w:instrText>
          </w:r>
          <w:r>
            <w:rPr>
              <w:sz w:val="28"/>
              <w:szCs w:val="28"/>
            </w:rPr>
            <w:fldChar w:fldCharType="separate"/>
          </w:r>
          <w:r>
            <w:rPr>
              <w:color w:val="000000"/>
              <w:sz w:val="28"/>
              <w:szCs w:val="28"/>
            </w:rPr>
            <w:t>130</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 xml:space="preserve">Annexe n° 14: Modèle de fiche d'information relative au matériel essentiel </w:t>
          </w:r>
          <w:r>
            <w:rPr>
              <w:color w:val="000000"/>
              <w:sz w:val="28"/>
              <w:szCs w:val="28"/>
            </w:rPr>
            <w:tab/>
          </w:r>
          <w:r>
            <w:rPr>
              <w:sz w:val="28"/>
              <w:szCs w:val="28"/>
            </w:rPr>
            <w:fldChar w:fldCharType="begin"/>
          </w:r>
          <w:r>
            <w:rPr>
              <w:sz w:val="28"/>
              <w:szCs w:val="28"/>
            </w:rPr>
            <w:instrText xml:space="preserve"> HYPERLINK \l "_2uh6nw4" </w:instrText>
          </w:r>
          <w:r>
            <w:rPr>
              <w:sz w:val="28"/>
              <w:szCs w:val="28"/>
            </w:rPr>
            <w:fldChar w:fldCharType="separate"/>
          </w:r>
          <w:r>
            <w:rPr>
              <w:color w:val="000000"/>
              <w:sz w:val="28"/>
              <w:szCs w:val="28"/>
            </w:rPr>
            <w:t>130</w:t>
          </w:r>
        </w:p>
        <w:p>
          <w:pPr>
            <w:pStyle w:val="3"/>
            <w:tabs>
              <w:tab w:val="left" w:pos="1540"/>
              <w:tab w:val="right" w:pos="9622"/>
            </w:tabs>
            <w:spacing w:after="120" w:line="360" w:lineRule="auto"/>
            <w:ind w:left="1560" w:hanging="1320"/>
            <w:rPr>
              <w:color w:val="000000"/>
              <w:sz w:val="28"/>
              <w:szCs w:val="28"/>
            </w:rPr>
          </w:pPr>
          <w:r>
            <w:rPr>
              <w:sz w:val="28"/>
              <w:szCs w:val="28"/>
            </w:rPr>
            <w:fldChar w:fldCharType="end"/>
          </w:r>
          <w:r>
            <w:rPr>
              <w:color w:val="000000"/>
              <w:sz w:val="28"/>
              <w:szCs w:val="28"/>
            </w:rPr>
            <w:t>Annexe n° 15: Modèle de déclaration sur l'honneur de visite du site</w:t>
          </w:r>
          <w:r>
            <w:rPr>
              <w:color w:val="000000"/>
              <w:sz w:val="28"/>
              <w:szCs w:val="28"/>
            </w:rPr>
            <w:tab/>
          </w:r>
          <w:r>
            <w:rPr>
              <w:sz w:val="28"/>
              <w:szCs w:val="28"/>
            </w:rPr>
            <w:fldChar w:fldCharType="begin"/>
          </w:r>
          <w:r>
            <w:rPr>
              <w:sz w:val="28"/>
              <w:szCs w:val="28"/>
            </w:rPr>
            <w:instrText xml:space="preserve"> HYPERLINK \l "_2uh6nw4" </w:instrText>
          </w:r>
          <w:r>
            <w:rPr>
              <w:sz w:val="28"/>
              <w:szCs w:val="28"/>
            </w:rPr>
            <w:fldChar w:fldCharType="separate"/>
          </w:r>
          <w:r>
            <w:rPr>
              <w:color w:val="000000"/>
              <w:sz w:val="28"/>
              <w:szCs w:val="28"/>
            </w:rPr>
            <w:t>130</w:t>
          </w:r>
        </w:p>
        <w:p>
          <w:pPr>
            <w:pStyle w:val="3"/>
            <w:rPr>
              <w:sz w:val="28"/>
              <w:szCs w:val="28"/>
            </w:rPr>
          </w:pPr>
          <w:r>
            <w:rPr>
              <w:sz w:val="28"/>
              <w:szCs w:val="28"/>
            </w:rPr>
            <w:fldChar w:fldCharType="end"/>
          </w:r>
        </w:p>
        <w:p>
          <w:pPr>
            <w:pStyle w:val="3"/>
            <w:rPr>
              <w:sz w:val="28"/>
              <w:szCs w:val="28"/>
            </w:rPr>
          </w:pPr>
        </w:p>
        <w:p>
          <w:pPr>
            <w:pStyle w:val="3"/>
            <w:rPr>
              <w:sz w:val="28"/>
              <w:szCs w:val="28"/>
            </w:rPr>
          </w:pPr>
        </w:p>
        <w:p>
          <w:pPr>
            <w:pStyle w:val="3"/>
            <w:rPr>
              <w:sz w:val="28"/>
              <w:szCs w:val="28"/>
            </w:rPr>
          </w:pPr>
        </w:p>
        <w:p>
          <w:pPr>
            <w:pStyle w:val="3"/>
            <w:rPr>
              <w:sz w:val="28"/>
              <w:szCs w:val="28"/>
            </w:rPr>
          </w:pPr>
        </w:p>
        <w:p>
          <w:pPr>
            <w:pStyle w:val="3"/>
            <w:rPr>
              <w:sz w:val="28"/>
              <w:szCs w:val="28"/>
            </w:rPr>
          </w:pPr>
        </w:p>
        <w:p>
          <w:pPr>
            <w:pStyle w:val="3"/>
            <w:rPr>
              <w:sz w:val="28"/>
              <w:szCs w:val="28"/>
            </w:rPr>
          </w:pPr>
        </w:p>
        <w:p>
          <w:pPr>
            <w:pStyle w:val="3"/>
            <w:rPr>
              <w:sz w:val="28"/>
              <w:szCs w:val="28"/>
            </w:rPr>
          </w:pPr>
        </w:p>
        <w:p>
          <w:pPr>
            <w:pStyle w:val="3"/>
            <w:rPr>
              <w:sz w:val="28"/>
              <w:szCs w:val="28"/>
            </w:rPr>
          </w:pPr>
        </w:p>
        <w:p>
          <w:pPr>
            <w:pStyle w:val="3"/>
            <w:widowControl w:val="0"/>
            <w:spacing w:line="276" w:lineRule="auto"/>
            <w:rPr>
              <w:b/>
              <w:smallCaps/>
              <w:sz w:val="28"/>
              <w:szCs w:val="28"/>
            </w:rPr>
          </w:pPr>
          <w:r>
            <w:rPr>
              <w:b/>
              <w:smallCaps/>
              <w:sz w:val="28"/>
              <w:szCs w:val="28"/>
            </w:rPr>
            <w:t>ANNEXE N° 1 : MODÈLE DE DECLARATION D’INTENTION DE SOUMISSIONNER</w:t>
          </w:r>
          <w:r>
            <w:rPr>
              <w:sz w:val="28"/>
              <w:szCs w:val="28"/>
            </w:rPr>
            <w:fldChar w:fldCharType="end"/>
          </w:r>
        </w:p>
      </w:sdtContent>
    </w:sdt>
    <w:p>
      <w:pPr>
        <w:pStyle w:val="3"/>
        <w:widowControl w:val="0"/>
        <w:spacing w:after="120" w:line="360" w:lineRule="auto"/>
        <w:jc w:val="both"/>
        <w:rPr>
          <w:sz w:val="20"/>
          <w:szCs w:val="20"/>
        </w:rPr>
      </w:pPr>
    </w:p>
    <w:p>
      <w:pPr>
        <w:pStyle w:val="3"/>
        <w:widowControl w:val="0"/>
        <w:spacing w:after="60" w:line="360" w:lineRule="auto"/>
        <w:ind w:left="107" w:right="3678"/>
        <w:rPr>
          <w:b/>
          <w:i/>
          <w:smallCaps/>
        </w:rPr>
      </w:pPr>
      <w:r>
        <w:t xml:space="preserve">Je soussigné, </w:t>
      </w:r>
    </w:p>
    <w:p>
      <w:pPr>
        <w:pStyle w:val="3"/>
        <w:widowControl w:val="0"/>
        <w:spacing w:after="60" w:line="360" w:lineRule="auto"/>
        <w:ind w:left="107" w:right="3678"/>
        <w:rPr>
          <w:b/>
          <w:i/>
          <w:smallCaps/>
        </w:rPr>
      </w:pPr>
      <w:r>
        <w:t xml:space="preserve">Nationalité : </w:t>
      </w:r>
    </w:p>
    <w:p>
      <w:pPr>
        <w:pStyle w:val="3"/>
        <w:widowControl w:val="0"/>
        <w:spacing w:after="60" w:line="360" w:lineRule="auto"/>
        <w:ind w:left="107" w:right="3678"/>
        <w:rPr>
          <w:b/>
          <w:i/>
          <w:smallCaps/>
        </w:rPr>
      </w:pPr>
      <w:r>
        <w:t xml:space="preserve">Domicile : </w:t>
      </w:r>
    </w:p>
    <w:p>
      <w:pPr>
        <w:pStyle w:val="3"/>
        <w:widowControl w:val="0"/>
        <w:spacing w:after="60" w:line="360" w:lineRule="auto"/>
        <w:ind w:left="107" w:right="3678"/>
        <w:rPr>
          <w:b/>
          <w:i/>
          <w:smallCaps/>
        </w:rPr>
      </w:pPr>
      <w:r>
        <w:t>Fonction :</w:t>
      </w:r>
    </w:p>
    <w:p>
      <w:pPr>
        <w:pStyle w:val="3"/>
        <w:widowControl w:val="0"/>
        <w:spacing w:after="60" w:line="360" w:lineRule="auto"/>
        <w:ind w:left="107" w:right="-214"/>
        <w:jc w:val="both"/>
        <w:rPr>
          <w:b/>
          <w:i/>
          <w:smallCaps/>
        </w:rPr>
      </w:pPr>
      <w:r>
        <w:t>En vertu de mes pouvoirs de Directeur Général, après avoir pris connaissance du Dossier d’Appel d’Offres National n°</w:t>
      </w:r>
      <w:r>
        <w:rPr>
          <w:i/>
        </w:rPr>
        <w:t>[indiquer la nature de la prestation].</w:t>
      </w:r>
    </w:p>
    <w:p>
      <w:pPr>
        <w:pStyle w:val="3"/>
        <w:widowControl w:val="0"/>
        <w:spacing w:after="60" w:line="360" w:lineRule="auto"/>
        <w:ind w:left="107" w:right="-20"/>
        <w:rPr>
          <w:b/>
          <w:i/>
          <w:smallCaps/>
        </w:rPr>
      </w:pPr>
      <w:r>
        <w:t>Déclare par la présente, l’intention de soumissionner pour cet Appel d’Offres.</w:t>
      </w:r>
    </w:p>
    <w:p>
      <w:pPr>
        <w:pStyle w:val="3"/>
        <w:widowControl w:val="0"/>
        <w:spacing w:after="60" w:line="360" w:lineRule="auto"/>
        <w:rPr>
          <w:b/>
          <w:i/>
          <w:smallCaps/>
        </w:rPr>
      </w:pPr>
    </w:p>
    <w:p>
      <w:pPr>
        <w:pStyle w:val="3"/>
        <w:widowControl w:val="0"/>
        <w:spacing w:after="60" w:line="360" w:lineRule="auto"/>
        <w:rPr>
          <w:b/>
          <w:i/>
          <w:smallCaps/>
        </w:rPr>
      </w:pPr>
    </w:p>
    <w:p>
      <w:pPr>
        <w:pStyle w:val="3"/>
        <w:widowControl w:val="0"/>
        <w:tabs>
          <w:tab w:val="left" w:pos="8100"/>
          <w:tab w:val="left" w:pos="10820"/>
        </w:tabs>
        <w:spacing w:after="60" w:line="360" w:lineRule="auto"/>
        <w:ind w:left="2268" w:right="-92"/>
        <w:rPr>
          <w:b/>
          <w:i/>
          <w:smallCaps/>
        </w:rPr>
      </w:pPr>
      <w:r>
        <w:t xml:space="preserve">                    Fait à </w:t>
      </w:r>
      <w:r>
        <w:rPr>
          <w:u w:val="single"/>
        </w:rPr>
        <w:t xml:space="preserve"> ________________</w:t>
      </w:r>
      <w:r>
        <w:t xml:space="preserve">le </w:t>
      </w:r>
      <w:r>
        <w:rPr>
          <w:u w:val="single"/>
        </w:rPr>
        <w:t xml:space="preserve"> </w:t>
      </w:r>
      <w:r>
        <w:rPr>
          <w:u w:val="single"/>
        </w:rPr>
        <w:tab/>
      </w:r>
    </w:p>
    <w:p>
      <w:pPr>
        <w:pStyle w:val="3"/>
        <w:widowControl w:val="0"/>
        <w:spacing w:after="60" w:line="360" w:lineRule="auto"/>
        <w:rPr>
          <w:b/>
          <w:i/>
          <w:smallCaps/>
        </w:rPr>
      </w:pPr>
    </w:p>
    <w:p>
      <w:pPr>
        <w:pStyle w:val="3"/>
        <w:widowControl w:val="0"/>
        <w:spacing w:after="60" w:line="360" w:lineRule="auto"/>
        <w:rPr>
          <w:b/>
          <w:i/>
          <w:smallCaps/>
        </w:rPr>
      </w:pPr>
    </w:p>
    <w:p>
      <w:pPr>
        <w:pStyle w:val="3"/>
        <w:widowControl w:val="0"/>
        <w:spacing w:after="60" w:line="360" w:lineRule="auto"/>
        <w:ind w:left="2880" w:right="-55" w:firstLine="720"/>
        <w:rPr>
          <w:b/>
          <w:i/>
          <w:smallCaps/>
        </w:rPr>
      </w:pPr>
      <w:r>
        <w:t>Signature, nom et cachet du soumissionnaire</w:t>
      </w:r>
    </w:p>
    <w:p>
      <w:pPr>
        <w:pStyle w:val="3"/>
        <w:widowControl w:val="0"/>
        <w:spacing w:after="120" w:line="360" w:lineRule="auto"/>
        <w:jc w:val="both"/>
        <w:rPr>
          <w:color w:val="FF0000"/>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center"/>
        <w:rPr>
          <w:b/>
          <w:smallCaps/>
          <w:color w:val="000000"/>
          <w:sz w:val="32"/>
          <w:szCs w:val="32"/>
        </w:rPr>
      </w:pPr>
      <w:bookmarkStart w:id="193" w:name="_4fbwdob" w:colFirst="0" w:colLast="0"/>
      <w:bookmarkEnd w:id="193"/>
      <w:bookmarkStart w:id="194" w:name="37wcjv5" w:colFirst="0" w:colLast="0"/>
      <w:bookmarkEnd w:id="194"/>
      <w:r>
        <w:rPr>
          <w:b/>
          <w:smallCaps/>
          <w:color w:val="000000"/>
          <w:sz w:val="32"/>
          <w:szCs w:val="32"/>
        </w:rPr>
        <w:t>ANNEXE N° 2 : MODÈLE DE SOUMISSION</w:t>
      </w:r>
    </w:p>
    <w:p>
      <w:pPr>
        <w:pStyle w:val="3"/>
        <w:widowControl w:val="0"/>
        <w:jc w:val="both"/>
        <w:rPr>
          <w:b/>
          <w:i/>
          <w:smallCaps/>
        </w:rPr>
      </w:pPr>
      <w:r>
        <w:t>Je, soussigné …......................………………………….......................………… [Indiquer le nom et la qualité du signataire] représentant la société, l’entreprise ou le groupement (8) ……………………..............……   Dont le siège social est à ………............................... Inscrite au registre du commerce de ………...............……………………...  Sous le n° ………………..................................……</w:t>
      </w:r>
    </w:p>
    <w:p>
      <w:pPr>
        <w:pStyle w:val="3"/>
        <w:widowControl w:val="0"/>
        <w:jc w:val="both"/>
        <w:rPr>
          <w:b/>
          <w:i/>
          <w:smallCaps/>
        </w:rPr>
      </w:pPr>
      <w:r>
        <w:t>Après avoir pris connaissance de toutes les pièces figurant ou mentionnées au dossier d'Appel d’Offres y compris les additifs,</w:t>
      </w:r>
    </w:p>
    <w:p>
      <w:pPr>
        <w:pStyle w:val="3"/>
        <w:widowControl w:val="0"/>
        <w:jc w:val="both"/>
        <w:rPr>
          <w:b/>
          <w:i/>
          <w:smallCaps/>
        </w:rPr>
      </w:pPr>
      <w:r>
        <w:t>N°……..........................................……………………  [Rappeler l’objet de l’appel d’offres]</w:t>
      </w:r>
    </w:p>
    <w:p>
      <w:pPr>
        <w:pStyle w:val="3"/>
        <w:widowControl w:val="0"/>
        <w:jc w:val="both"/>
        <w:rPr>
          <w:b/>
          <w:i/>
          <w:smallCaps/>
        </w:rPr>
      </w:pPr>
      <w: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pPr>
        <w:pStyle w:val="3"/>
        <w:widowControl w:val="0"/>
        <w:jc w:val="both"/>
        <w:rPr>
          <w:b/>
          <w:i/>
          <w:smallCaps/>
        </w:rPr>
      </w:pPr>
      <w:r>
        <w:t>……………..................................................................................................…………………   [En chiffres et en lettres] francs CFA Hors TVA, et à</w:t>
      </w:r>
    </w:p>
    <w:p>
      <w:pPr>
        <w:pStyle w:val="3"/>
        <w:widowControl w:val="0"/>
        <w:jc w:val="both"/>
        <w:rPr>
          <w:b/>
          <w:i/>
          <w:smallCaps/>
        </w:rPr>
      </w:pPr>
      <w:r>
        <w:t>………………........................................................………………………..  Francs CFA Toutes Taxes Comprises. [En chiffres et en lettres]</w:t>
      </w:r>
    </w:p>
    <w:p>
      <w:pPr>
        <w:pStyle w:val="3"/>
        <w:widowControl w:val="0"/>
        <w:jc w:val="both"/>
        <w:rPr>
          <w:b/>
          <w:i/>
          <w:smallCaps/>
        </w:rPr>
      </w:pPr>
      <w:r>
        <w:t>-  M'engage à exécuter les prestations dans un délai de …...............………  Mois</w:t>
      </w:r>
    </w:p>
    <w:p>
      <w:pPr>
        <w:pStyle w:val="3"/>
        <w:widowControl w:val="0"/>
        <w:jc w:val="both"/>
        <w:rPr>
          <w:b/>
          <w:i/>
          <w:smallCaps/>
        </w:rPr>
      </w:pPr>
      <w:r>
        <w:t>-  M’engage en outre à maintenir mon offre dans le délai ……….............  Jours [indiquer la durée de validité, en principe 90 jours] à compter de la date limite de remise des offres.</w:t>
      </w:r>
    </w:p>
    <w:p>
      <w:pPr>
        <w:pStyle w:val="3"/>
        <w:widowControl w:val="0"/>
        <w:numPr>
          <w:ilvl w:val="0"/>
          <w:numId w:val="21"/>
        </w:numPr>
        <w:ind w:left="284" w:hanging="284"/>
        <w:jc w:val="both"/>
        <w:rPr>
          <w:color w:val="000000"/>
        </w:rPr>
      </w:pPr>
      <w:r>
        <w:rPr>
          <w:color w:val="000000"/>
          <w:sz w:val="22"/>
          <w:szCs w:val="22"/>
        </w:rPr>
        <w:t>Adhère entièrement à la charte d’intégrité et à la déclaration d’engagement environnemental et social jointes aux présents DAO.</w:t>
      </w:r>
    </w:p>
    <w:p>
      <w:pPr>
        <w:pStyle w:val="3"/>
        <w:widowControl w:val="0"/>
        <w:jc w:val="both"/>
        <w:rPr>
          <w:b/>
          <w:i/>
          <w:smallCaps/>
        </w:rPr>
      </w:pPr>
      <w:r>
        <w:t>Les rabais offerts et les modalités d’application desdits rabais sont les suivants :</w:t>
      </w:r>
    </w:p>
    <w:p>
      <w:pPr>
        <w:pStyle w:val="3"/>
        <w:widowControl w:val="0"/>
        <w:jc w:val="both"/>
        <w:rPr>
          <w:b/>
          <w:i/>
          <w:smallCaps/>
        </w:rPr>
      </w:pPr>
      <w:r>
        <w:t>…………………………………………………………………………………………………………………………………………………………................................................................................</w:t>
      </w:r>
    </w:p>
    <w:p>
      <w:pPr>
        <w:pStyle w:val="3"/>
        <w:widowControl w:val="0"/>
        <w:jc w:val="both"/>
        <w:rPr>
          <w:b/>
          <w:i/>
          <w:smallCaps/>
        </w:rPr>
      </w:pPr>
      <w:r>
        <w:t>Le Maître d’Ouvrage ou le Maître d’Ouvrage Délégué</w:t>
      </w:r>
    </w:p>
    <w:p>
      <w:pPr>
        <w:pStyle w:val="3"/>
        <w:widowControl w:val="0"/>
        <w:jc w:val="both"/>
        <w:rPr>
          <w:b/>
          <w:i/>
          <w:smallCaps/>
        </w:rPr>
      </w:pPr>
      <w:r>
        <w:t xml:space="preserve"> Se libérera des sommes dues par elle au titre du présent marché en faisant donner crédit au compte n° ………..............……….    Ouvert au nom de ………...........................................……….    Auprès de la banque..............……….  Agence de ……….........................................……….</w:t>
      </w:r>
    </w:p>
    <w:p>
      <w:pPr>
        <w:pStyle w:val="3"/>
        <w:widowControl w:val="0"/>
        <w:jc w:val="both"/>
        <w:rPr>
          <w:b/>
          <w:i/>
          <w:smallCaps/>
        </w:rPr>
      </w:pPr>
      <w:r>
        <w:t>Avant signature du marché, la présente soumission acceptée par vous vaudra engagement entre nous.</w:t>
      </w:r>
    </w:p>
    <w:p>
      <w:pPr>
        <w:pStyle w:val="3"/>
        <w:widowControl w:val="0"/>
        <w:jc w:val="both"/>
        <w:rPr>
          <w:b/>
          <w:i/>
          <w:smallCaps/>
        </w:rPr>
      </w:pPr>
      <w:r>
        <w:t>Fait à …....……….  Le ……….</w:t>
      </w:r>
    </w:p>
    <w:p>
      <w:pPr>
        <w:pStyle w:val="3"/>
        <w:widowControl w:val="0"/>
        <w:jc w:val="both"/>
        <w:rPr>
          <w:b/>
          <w:i/>
          <w:smallCaps/>
        </w:rPr>
      </w:pPr>
      <w:r>
        <w:t xml:space="preserve">Signature de </w:t>
      </w:r>
    </w:p>
    <w:p>
      <w:pPr>
        <w:pStyle w:val="3"/>
        <w:widowControl w:val="0"/>
        <w:jc w:val="both"/>
        <w:rPr>
          <w:b/>
          <w:i/>
          <w:smallCaps/>
        </w:rPr>
      </w:pPr>
      <w:r>
        <w:t>En qualité de ……….....…… Dûment autorisé à signer les soumissions pour et au nom de (9)....……….</w:t>
      </w:r>
    </w:p>
    <w:p>
      <w:pPr>
        <w:pStyle w:val="3"/>
        <w:widowControl w:val="0"/>
        <w:jc w:val="both"/>
        <w:rPr>
          <w:b/>
          <w:i/>
          <w:smallCaps/>
        </w:rPr>
      </w:pPr>
      <w:r>
        <w:t>(8) Supprimer la mention inutile</w:t>
      </w:r>
    </w:p>
    <w:p>
      <w:pPr>
        <w:pStyle w:val="3"/>
        <w:widowControl w:val="0"/>
        <w:jc w:val="both"/>
        <w:rPr>
          <w:b/>
          <w:i/>
          <w:smallCaps/>
        </w:rPr>
        <w:sectPr>
          <w:footerReference r:id="rId5" w:type="default"/>
          <w:type w:val="continuous"/>
          <w:pgSz w:w="11900" w:h="16820"/>
          <w:pgMar w:top="1134" w:right="1134" w:bottom="1134" w:left="1134" w:header="720" w:footer="720" w:gutter="0"/>
          <w:cols w:space="720" w:num="1"/>
        </w:sectPr>
      </w:pPr>
      <w:r>
        <w:t>(9) Annexer la lettre de pouvoirs</w:t>
      </w:r>
    </w:p>
    <w:p>
      <w:pPr>
        <w:pStyle w:val="3"/>
        <w:widowControl w:val="0"/>
        <w:spacing w:line="360" w:lineRule="auto"/>
        <w:jc w:val="center"/>
        <w:rPr>
          <w:b/>
          <w:smallCaps/>
          <w:color w:val="000000"/>
          <w:sz w:val="32"/>
          <w:szCs w:val="32"/>
        </w:rPr>
      </w:pPr>
      <w:bookmarkStart w:id="195" w:name="_2uh6nw4" w:colFirst="0" w:colLast="0"/>
      <w:bookmarkEnd w:id="195"/>
      <w:r>
        <w:rPr>
          <w:b/>
          <w:smallCaps/>
          <w:color w:val="000000"/>
          <w:sz w:val="32"/>
          <w:szCs w:val="32"/>
        </w:rPr>
        <w:t>ANNEXE N° 3 : MODÈLE DE CAUTIONNEMENT DE SOUMISSION</w:t>
      </w:r>
    </w:p>
    <w:p>
      <w:pPr>
        <w:pStyle w:val="3"/>
        <w:widowControl w:val="0"/>
        <w:ind w:left="107" w:right="-20"/>
        <w:rPr>
          <w:b/>
          <w:i/>
          <w:smallCaps/>
        </w:rPr>
      </w:pPr>
      <w:bookmarkStart w:id="196" w:name="_19mgy3x" w:colFirst="0" w:colLast="0"/>
      <w:bookmarkEnd w:id="196"/>
      <w:r>
        <w:rPr>
          <w:sz w:val="22"/>
          <w:szCs w:val="22"/>
        </w:rPr>
        <w:t>Organisme financier :</w:t>
      </w:r>
    </w:p>
    <w:p>
      <w:pPr>
        <w:pStyle w:val="3"/>
        <w:widowControl w:val="0"/>
        <w:spacing w:before="12"/>
        <w:ind w:left="107" w:right="-20"/>
        <w:rPr>
          <w:b/>
          <w:i/>
          <w:smallCaps/>
        </w:rPr>
      </w:pPr>
      <w:r>
        <w:rPr>
          <w:sz w:val="22"/>
          <w:szCs w:val="22"/>
        </w:rPr>
        <w:t xml:space="preserve">Référence de la Caution : N° </w:t>
      </w:r>
      <w:r>
        <w:rPr>
          <w:i/>
          <w:sz w:val="22"/>
          <w:szCs w:val="22"/>
        </w:rPr>
        <w:t>……………..................................……….</w:t>
      </w:r>
    </w:p>
    <w:p>
      <w:pPr>
        <w:pStyle w:val="3"/>
        <w:widowControl w:val="0"/>
        <w:rPr>
          <w:sz w:val="22"/>
          <w:szCs w:val="22"/>
        </w:rPr>
      </w:pPr>
    </w:p>
    <w:p>
      <w:pPr>
        <w:pStyle w:val="3"/>
        <w:widowControl w:val="0"/>
        <w:ind w:left="107" w:right="-214"/>
        <w:rPr>
          <w:b/>
          <w:i/>
          <w:smallCaps/>
        </w:rPr>
      </w:pPr>
      <w:r>
        <w:rPr>
          <w:sz w:val="22"/>
          <w:szCs w:val="22"/>
        </w:rPr>
        <w:t>Adressée à [</w:t>
      </w:r>
      <w:r>
        <w:rPr>
          <w:i/>
          <w:sz w:val="22"/>
          <w:szCs w:val="22"/>
        </w:rPr>
        <w:t xml:space="preserve">indiquer le Maître d’Ouvrage </w:t>
      </w:r>
      <w:r>
        <w:rPr>
          <w:i/>
          <w:sz w:val="20"/>
          <w:szCs w:val="20"/>
        </w:rPr>
        <w:t>ou le Maître d’Ouvrage Délégué</w:t>
      </w:r>
      <w:r>
        <w:rPr>
          <w:i/>
          <w:sz w:val="22"/>
          <w:szCs w:val="22"/>
        </w:rPr>
        <w:t xml:space="preserve"> et son adresse] Cameroun</w:t>
      </w:r>
      <w:r>
        <w:rPr>
          <w:sz w:val="22"/>
          <w:szCs w:val="22"/>
        </w:rPr>
        <w:t>, ci-dessous désigné « le Maître d’Ouvrage »</w:t>
      </w:r>
    </w:p>
    <w:p>
      <w:pPr>
        <w:pStyle w:val="3"/>
        <w:widowControl w:val="0"/>
        <w:ind w:left="107" w:right="-259"/>
        <w:jc w:val="both"/>
        <w:rPr>
          <w:b/>
          <w:i/>
          <w:smallCaps/>
        </w:rPr>
      </w:pPr>
      <w:r>
        <w:t>Attendu que le Prestataire …</w:t>
      </w:r>
      <w:r>
        <w:rPr>
          <w:sz w:val="12"/>
          <w:szCs w:val="12"/>
        </w:rPr>
        <w:t>…………..........................………,</w:t>
      </w:r>
      <w:r>
        <w:t xml:space="preserve"> ci-dessous désignée « le soumissionnaire », </w:t>
      </w:r>
      <w:r>
        <w:rPr>
          <w:sz w:val="22"/>
          <w:szCs w:val="22"/>
        </w:rPr>
        <w:t>a soumis son offre en date du ……………..........................……….    Pour [</w:t>
      </w:r>
      <w:r>
        <w:rPr>
          <w:i/>
          <w:sz w:val="22"/>
          <w:szCs w:val="22"/>
        </w:rPr>
        <w:t>rappeler l’objet de l’appel d’offres]</w:t>
      </w:r>
      <w:r>
        <w:rPr>
          <w:sz w:val="22"/>
          <w:szCs w:val="22"/>
        </w:rPr>
        <w:t>, ci-dessous désignée</w:t>
      </w:r>
    </w:p>
    <w:p>
      <w:pPr>
        <w:pStyle w:val="3"/>
        <w:widowControl w:val="0"/>
        <w:ind w:left="107" w:right="-215"/>
        <w:jc w:val="both"/>
        <w:rPr>
          <w:b/>
          <w:i/>
          <w:smallCaps/>
        </w:rPr>
      </w:pPr>
      <w:r>
        <w:rPr>
          <w:sz w:val="22"/>
          <w:szCs w:val="22"/>
        </w:rPr>
        <w:t xml:space="preserve">« L’offre », et pour laquelle il doit joindre un cautionnement provisoire équivalant à </w:t>
      </w:r>
      <w:r>
        <w:rPr>
          <w:i/>
          <w:sz w:val="22"/>
          <w:szCs w:val="22"/>
        </w:rPr>
        <w:t>[indiquer le montant]</w:t>
      </w:r>
    </w:p>
    <w:p>
      <w:pPr>
        <w:pStyle w:val="3"/>
        <w:widowControl w:val="0"/>
        <w:spacing w:before="12"/>
        <w:ind w:left="107" w:right="-20"/>
        <w:jc w:val="both"/>
        <w:rPr>
          <w:b/>
          <w:i/>
          <w:smallCaps/>
        </w:rPr>
      </w:pPr>
      <w:r>
        <w:rPr>
          <w:sz w:val="22"/>
          <w:szCs w:val="22"/>
        </w:rPr>
        <w:t>Francs CFA,</w:t>
      </w:r>
    </w:p>
    <w:p>
      <w:pPr>
        <w:pStyle w:val="3"/>
        <w:widowControl w:val="0"/>
        <w:ind w:left="107" w:right="-259"/>
        <w:jc w:val="both"/>
        <w:rPr>
          <w:b/>
          <w:i/>
          <w:smallCaps/>
        </w:rPr>
      </w:pPr>
      <w:r>
        <w:rPr>
          <w:sz w:val="22"/>
          <w:szCs w:val="22"/>
        </w:rPr>
        <w:t xml:space="preserve">Nous …………....................…..........................……….  </w:t>
      </w:r>
      <w:r>
        <w:rPr>
          <w:i/>
          <w:sz w:val="22"/>
          <w:szCs w:val="22"/>
        </w:rPr>
        <w:t>[Nom et adresse de l’organisme financier]</w:t>
      </w:r>
      <w:r>
        <w:rPr>
          <w:sz w:val="22"/>
          <w:szCs w:val="22"/>
        </w:rPr>
        <w:t xml:space="preserve">, représentée par ……………..........................……….  </w:t>
      </w:r>
      <w:r>
        <w:rPr>
          <w:i/>
          <w:sz w:val="22"/>
          <w:szCs w:val="22"/>
        </w:rPr>
        <w:t>[Noms des signataires]</w:t>
      </w:r>
      <w:r>
        <w:rPr>
          <w:sz w:val="22"/>
          <w:szCs w:val="22"/>
        </w:rPr>
        <w:t xml:space="preserve">, ci-dessous désignée « l’organisme financier », déclarons garantir le paiement au Maître d’Ouvrage </w:t>
      </w:r>
      <w:r>
        <w:rPr>
          <w:i/>
          <w:sz w:val="20"/>
          <w:szCs w:val="20"/>
        </w:rPr>
        <w:t xml:space="preserve">ou au Maître d’Ouvrage Délégué </w:t>
      </w:r>
      <w:r>
        <w:rPr>
          <w:sz w:val="22"/>
          <w:szCs w:val="22"/>
        </w:rPr>
        <w:t xml:space="preserve">de la somme maximale de [indiquer le montant] Francs CFA, que l’organisme financier s’engage à régler intégralement à au Maître d’Ouvrage </w:t>
      </w:r>
      <w:r>
        <w:rPr>
          <w:i/>
          <w:sz w:val="20"/>
          <w:szCs w:val="20"/>
        </w:rPr>
        <w:t>ou au Maître d’Ouvrage Délégué</w:t>
      </w:r>
      <w:r>
        <w:rPr>
          <w:sz w:val="22"/>
          <w:szCs w:val="22"/>
        </w:rPr>
        <w:t>, s’obligeant elle-même, ses successeurs et assignataires.</w:t>
      </w:r>
    </w:p>
    <w:p>
      <w:pPr>
        <w:pStyle w:val="3"/>
        <w:widowControl w:val="0"/>
        <w:ind w:left="107" w:right="-20"/>
        <w:jc w:val="both"/>
        <w:rPr>
          <w:b/>
          <w:i/>
          <w:smallCaps/>
        </w:rPr>
      </w:pPr>
      <w:r>
        <w:rPr>
          <w:sz w:val="22"/>
          <w:szCs w:val="22"/>
        </w:rPr>
        <w:t>Les conditions de cette obligation sont les suivantes :</w:t>
      </w:r>
    </w:p>
    <w:p>
      <w:pPr>
        <w:pStyle w:val="3"/>
        <w:widowControl w:val="0"/>
        <w:ind w:left="107" w:right="-213"/>
        <w:jc w:val="both"/>
        <w:rPr>
          <w:b/>
          <w:i/>
          <w:smallCaps/>
        </w:rPr>
      </w:pPr>
      <w:r>
        <w:rPr>
          <w:sz w:val="22"/>
          <w:szCs w:val="22"/>
        </w:rPr>
        <w:t>Si le soumissionnaire retire son offre pendant la période de validité prévue dans le dossier d’appel d’offres ;</w:t>
      </w:r>
    </w:p>
    <w:p>
      <w:pPr>
        <w:pStyle w:val="3"/>
        <w:widowControl w:val="0"/>
        <w:ind w:left="107" w:right="-20"/>
        <w:rPr>
          <w:sz w:val="22"/>
          <w:szCs w:val="22"/>
        </w:rPr>
      </w:pPr>
      <w:r>
        <w:rPr>
          <w:sz w:val="22"/>
          <w:szCs w:val="22"/>
        </w:rPr>
        <w:t>Où</w:t>
      </w:r>
    </w:p>
    <w:p>
      <w:pPr>
        <w:pStyle w:val="3"/>
        <w:widowControl w:val="0"/>
        <w:ind w:left="107" w:right="-214"/>
        <w:rPr>
          <w:sz w:val="22"/>
          <w:szCs w:val="22"/>
        </w:rPr>
      </w:pPr>
      <w:r>
        <w:rPr>
          <w:sz w:val="22"/>
          <w:szCs w:val="22"/>
        </w:rPr>
        <w:t>Si le soumissionnaire, s’étant vu notifié l’attribution du marché par le Maître d’Ouvrage</w:t>
      </w:r>
      <w:r>
        <w:rPr>
          <w:i/>
          <w:sz w:val="22"/>
          <w:szCs w:val="22"/>
        </w:rPr>
        <w:t xml:space="preserve"> ou le Maître d’Ouvrage Délégué</w:t>
      </w:r>
      <w:r>
        <w:rPr>
          <w:sz w:val="22"/>
          <w:szCs w:val="22"/>
        </w:rPr>
        <w:t xml:space="preserve"> pendant la période de validité :</w:t>
      </w:r>
    </w:p>
    <w:p>
      <w:pPr>
        <w:pStyle w:val="3"/>
        <w:widowControl w:val="0"/>
        <w:ind w:left="107" w:right="-20"/>
        <w:rPr>
          <w:b/>
          <w:i/>
          <w:smallCaps/>
        </w:rPr>
      </w:pPr>
      <w:r>
        <w:rPr>
          <w:sz w:val="22"/>
          <w:szCs w:val="22"/>
        </w:rPr>
        <w:t>- omet de signer ou refuse de signer le marché, alors qu’il est requis de le faire ;</w:t>
      </w:r>
    </w:p>
    <w:p>
      <w:pPr>
        <w:pStyle w:val="3"/>
        <w:widowControl w:val="0"/>
        <w:ind w:left="334" w:right="-214" w:hanging="227"/>
        <w:rPr>
          <w:b/>
          <w:i/>
          <w:smallCaps/>
        </w:rPr>
      </w:pPr>
      <w:r>
        <w:rPr>
          <w:sz w:val="22"/>
          <w:szCs w:val="22"/>
        </w:rPr>
        <w:t>-  omet ou refuse de fournir le cautionnement définitif du marché (cautionnement définitif), comme prévu dans celui-ci.</w:t>
      </w:r>
    </w:p>
    <w:p>
      <w:pPr>
        <w:pStyle w:val="3"/>
        <w:widowControl w:val="0"/>
        <w:ind w:left="107" w:right="82"/>
        <w:jc w:val="both"/>
        <w:rPr>
          <w:b/>
          <w:i/>
          <w:smallCaps/>
        </w:rPr>
      </w:pPr>
      <w:r>
        <w:rPr>
          <w:sz w:val="22"/>
          <w:szCs w:val="22"/>
        </w:rPr>
        <w:t>Nous  nous  engageons  à  payer  au  Maître d’Ouvrage</w:t>
      </w:r>
      <w:r>
        <w:rPr>
          <w:i/>
          <w:sz w:val="22"/>
          <w:szCs w:val="22"/>
        </w:rPr>
        <w:t xml:space="preserve"> ou le Maître d’Ouvrage Délégué</w:t>
      </w:r>
      <w:r>
        <w:rPr>
          <w:sz w:val="22"/>
          <w:szCs w:val="22"/>
        </w:rPr>
        <w:t xml:space="preserve"> d’ un  montant  allant  jusqu’au  maximum  de  la somme  stipulée  ci-dessus,  dès  réception  de  sa  première  demande  écrite,  sans  que  le  Maître d’Ouvrage</w:t>
      </w:r>
      <w:r>
        <w:rPr>
          <w:i/>
          <w:sz w:val="22"/>
          <w:szCs w:val="22"/>
        </w:rPr>
        <w:t xml:space="preserve"> ou le Maître d’Ouvrage Délégué</w:t>
      </w:r>
      <w:r>
        <w:rPr>
          <w:sz w:val="22"/>
          <w:szCs w:val="22"/>
        </w:rPr>
        <w:t xml:space="preserve"> soit tenu de justifier sa demande, étant entendu toutefois que dans sa demande le Maître d’Ouvrage</w:t>
      </w:r>
      <w:r>
        <w:rPr>
          <w:i/>
          <w:sz w:val="20"/>
          <w:szCs w:val="20"/>
        </w:rPr>
        <w:t xml:space="preserve"> ou le Maître d’Ouvrage Délégué</w:t>
      </w:r>
      <w:r>
        <w:rPr>
          <w:sz w:val="22"/>
          <w:szCs w:val="22"/>
        </w:rPr>
        <w:t xml:space="preserve"> notera que le montant qu’il réclame lui est dû parce que l’une ou l’autre des conditions ci-dessus, ou toutes les deux, sont remplies, et qu’il spécifiera quelle(s) condition(s) a (ont) joué.</w:t>
      </w:r>
    </w:p>
    <w:p>
      <w:pPr>
        <w:pStyle w:val="3"/>
        <w:widowControl w:val="0"/>
        <w:jc w:val="both"/>
        <w:rPr>
          <w:sz w:val="22"/>
          <w:szCs w:val="22"/>
        </w:rPr>
      </w:pPr>
    </w:p>
    <w:p>
      <w:pPr>
        <w:pStyle w:val="3"/>
        <w:widowControl w:val="0"/>
        <w:ind w:left="107" w:right="-258"/>
        <w:jc w:val="both"/>
        <w:rPr>
          <w:b/>
          <w:i/>
          <w:smallCaps/>
        </w:rPr>
      </w:pPr>
      <w:r>
        <w:rPr>
          <w:sz w:val="22"/>
          <w:szCs w:val="22"/>
        </w:rPr>
        <w:t xml:space="preserve">La présente caution entre en vigueur dès sa signature et dès la date limite fixée par le Maître d’Ouvrage </w:t>
      </w:r>
      <w:r>
        <w:rPr>
          <w:i/>
          <w:sz w:val="20"/>
          <w:szCs w:val="20"/>
        </w:rPr>
        <w:t>ou le Maître d’Ouvrage Délégué</w:t>
      </w:r>
      <w:r>
        <w:rPr>
          <w:sz w:val="22"/>
          <w:szCs w:val="22"/>
        </w:rPr>
        <w:t xml:space="preserve"> pour la remise des offres. Elle demeurera valable jusqu’au trentième jour inclus suivant la fin du délai de validité des offres. Toute demande du Maître d’Ouvrage </w:t>
      </w:r>
      <w:r>
        <w:rPr>
          <w:i/>
          <w:sz w:val="20"/>
          <w:szCs w:val="20"/>
        </w:rPr>
        <w:t>ou du Maître d’Ouvrage Délégué</w:t>
      </w:r>
      <w:r>
        <w:rPr>
          <w:sz w:val="22"/>
          <w:szCs w:val="22"/>
        </w:rPr>
        <w:t xml:space="preserve"> tendant à la faire jouer devra parvenir à la banque, par lettre recommandée avec accusé de réception, avant la fin de cette période de validité.</w:t>
      </w:r>
    </w:p>
    <w:p>
      <w:pPr>
        <w:pStyle w:val="3"/>
        <w:widowControl w:val="0"/>
        <w:ind w:left="107" w:right="82"/>
        <w:jc w:val="both"/>
        <w:rPr>
          <w:b/>
          <w:i/>
          <w:smallCaps/>
        </w:rPr>
      </w:pPr>
      <w:r>
        <w:rPr>
          <w:sz w:val="22"/>
          <w:szCs w:val="22"/>
        </w:rPr>
        <w:t>Le présent cautionnement est soumis pour son interprétation et son exécution au droit camerounais. Les tribunaux du Cameroun seront seuls compétents pour statuer sur tout ce qui concerne le présent engagement et ses suites.</w:t>
      </w:r>
    </w:p>
    <w:p>
      <w:pPr>
        <w:pStyle w:val="3"/>
        <w:widowControl w:val="0"/>
        <w:ind w:left="7216" w:right="-20"/>
        <w:rPr>
          <w:b/>
          <w:i/>
          <w:smallCaps/>
        </w:rPr>
      </w:pPr>
      <w:r>
        <w:rPr>
          <w:i/>
        </w:rPr>
        <w:t>Signé et authentifié par l’organisme financier</w:t>
      </w:r>
    </w:p>
    <w:p>
      <w:pPr>
        <w:pStyle w:val="3"/>
        <w:widowControl w:val="0"/>
        <w:rPr>
          <w:sz w:val="10"/>
          <w:szCs w:val="10"/>
        </w:rPr>
      </w:pPr>
    </w:p>
    <w:p>
      <w:pPr>
        <w:pStyle w:val="3"/>
        <w:widowControl w:val="0"/>
        <w:ind w:left="5725" w:right="-40" w:firstLine="35"/>
        <w:rPr>
          <w:b/>
          <w:i/>
          <w:smallCaps/>
        </w:rPr>
      </w:pPr>
      <w:r>
        <w:rPr>
          <w:i/>
        </w:rPr>
        <w:t xml:space="preserve">À </w:t>
      </w:r>
      <w:r>
        <w:rPr>
          <w:i/>
          <w:sz w:val="12"/>
          <w:szCs w:val="12"/>
        </w:rPr>
        <w:t>……………..........................………</w:t>
      </w:r>
      <w:r>
        <w:rPr>
          <w:i/>
        </w:rPr>
        <w:t xml:space="preserve">, le </w:t>
      </w:r>
      <w:r>
        <w:rPr>
          <w:i/>
          <w:sz w:val="12"/>
          <w:szCs w:val="12"/>
        </w:rPr>
        <w:t>……….......................</w:t>
      </w:r>
    </w:p>
    <w:p>
      <w:pPr>
        <w:pStyle w:val="3"/>
        <w:widowControl w:val="0"/>
        <w:spacing w:before="8"/>
        <w:rPr>
          <w:sz w:val="10"/>
          <w:szCs w:val="10"/>
        </w:rPr>
      </w:pPr>
    </w:p>
    <w:p>
      <w:pPr>
        <w:pStyle w:val="3"/>
        <w:widowControl w:val="0"/>
        <w:ind w:left="5725" w:right="-20" w:firstLine="720"/>
        <w:rPr>
          <w:b/>
          <w:i/>
          <w:smallCaps/>
        </w:rPr>
      </w:pPr>
      <w:r>
        <w:rPr>
          <w:i/>
          <w:sz w:val="20"/>
          <w:szCs w:val="20"/>
        </w:rPr>
        <w:t>[Signature de l’organisme financier]</w:t>
      </w:r>
    </w:p>
    <w:p>
      <w:pPr>
        <w:pStyle w:val="3"/>
        <w:widowControl w:val="0"/>
        <w:spacing w:line="360" w:lineRule="auto"/>
        <w:jc w:val="center"/>
        <w:rPr>
          <w:b/>
          <w:smallCaps/>
          <w:color w:val="000000"/>
          <w:sz w:val="32"/>
          <w:szCs w:val="32"/>
        </w:rPr>
      </w:pPr>
      <w:r>
        <w:rPr>
          <w:b/>
          <w:smallCaps/>
          <w:color w:val="000000"/>
          <w:sz w:val="32"/>
          <w:szCs w:val="32"/>
        </w:rPr>
        <w:br w:type="textWrapping"/>
      </w: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spacing w:line="360" w:lineRule="auto"/>
        <w:jc w:val="center"/>
        <w:rPr>
          <w:b/>
          <w:smallCaps/>
          <w:sz w:val="32"/>
          <w:szCs w:val="32"/>
        </w:rPr>
      </w:pPr>
      <w:bookmarkStart w:id="197" w:name="_1n1mu2y" w:colFirst="0" w:colLast="0"/>
      <w:bookmarkEnd w:id="197"/>
      <w:r>
        <w:rPr>
          <w:b/>
          <w:smallCaps/>
          <w:sz w:val="32"/>
          <w:szCs w:val="32"/>
        </w:rPr>
        <w:t>ANNEXE N° 4 : MODÈLE DE CAUTIONNEMENT DÉFINITIF</w:t>
      </w:r>
    </w:p>
    <w:p>
      <w:pPr>
        <w:pStyle w:val="3"/>
        <w:widowControl w:val="0"/>
        <w:ind w:left="107" w:right="-20"/>
        <w:rPr>
          <w:b/>
          <w:i/>
          <w:smallCaps/>
        </w:rPr>
      </w:pPr>
      <w:r>
        <w:rPr>
          <w:sz w:val="22"/>
          <w:szCs w:val="22"/>
        </w:rPr>
        <w:t>Organisme financier :</w:t>
      </w:r>
    </w:p>
    <w:p>
      <w:pPr>
        <w:pStyle w:val="3"/>
        <w:widowControl w:val="0"/>
        <w:spacing w:before="12"/>
        <w:ind w:left="107" w:right="-20"/>
        <w:rPr>
          <w:b/>
          <w:i/>
          <w:smallCaps/>
        </w:rPr>
      </w:pPr>
      <w:r>
        <w:rPr>
          <w:sz w:val="22"/>
          <w:szCs w:val="22"/>
        </w:rPr>
        <w:t xml:space="preserve">Référence de la Caution : N° </w:t>
      </w:r>
      <w:r>
        <w:rPr>
          <w:i/>
          <w:sz w:val="22"/>
          <w:szCs w:val="22"/>
        </w:rPr>
        <w:t>……………..................................……….</w:t>
      </w:r>
    </w:p>
    <w:p>
      <w:pPr>
        <w:pStyle w:val="3"/>
        <w:widowControl w:val="0"/>
        <w:ind w:left="107" w:right="-214"/>
        <w:rPr>
          <w:b/>
          <w:i/>
          <w:smallCaps/>
        </w:rPr>
      </w:pPr>
      <w:r>
        <w:rPr>
          <w:sz w:val="22"/>
          <w:szCs w:val="22"/>
        </w:rPr>
        <w:t>Adressée à [</w:t>
      </w:r>
      <w:r>
        <w:rPr>
          <w:i/>
          <w:sz w:val="22"/>
          <w:szCs w:val="22"/>
        </w:rPr>
        <w:t xml:space="preserve">indiquer le Maître d’Ouvrage </w:t>
      </w:r>
      <w:r>
        <w:rPr>
          <w:i/>
          <w:sz w:val="20"/>
          <w:szCs w:val="20"/>
        </w:rPr>
        <w:t>ou le Maître d’Ouvrage Délégué</w:t>
      </w:r>
      <w:r>
        <w:rPr>
          <w:i/>
          <w:sz w:val="22"/>
          <w:szCs w:val="22"/>
        </w:rPr>
        <w:t xml:space="preserve"> et son adresse] Cameroun</w:t>
      </w:r>
      <w:r>
        <w:rPr>
          <w:sz w:val="22"/>
          <w:szCs w:val="22"/>
        </w:rPr>
        <w:t>, ci-dessous désigné « le Maître d’Ouvrage »</w:t>
      </w:r>
    </w:p>
    <w:p>
      <w:pPr>
        <w:pStyle w:val="3"/>
        <w:widowControl w:val="0"/>
        <w:ind w:left="107" w:right="-214"/>
        <w:rPr>
          <w:sz w:val="22"/>
          <w:szCs w:val="22"/>
        </w:rPr>
      </w:pPr>
    </w:p>
    <w:p>
      <w:pPr>
        <w:pStyle w:val="3"/>
        <w:widowControl w:val="0"/>
        <w:ind w:left="107" w:right="-214"/>
        <w:rPr>
          <w:b/>
          <w:i/>
          <w:smallCaps/>
        </w:rPr>
      </w:pPr>
      <w:r>
        <w:rPr>
          <w:sz w:val="22"/>
          <w:szCs w:val="22"/>
        </w:rPr>
        <w:t xml:space="preserve">Attendu que </w:t>
      </w:r>
      <w:r>
        <w:rPr>
          <w:i/>
          <w:sz w:val="22"/>
          <w:szCs w:val="22"/>
        </w:rPr>
        <w:t>…………….............................................................................……….   [Nom et adresse du fournisseur ou du prestataire]</w:t>
      </w:r>
      <w:r>
        <w:rPr>
          <w:sz w:val="22"/>
          <w:szCs w:val="22"/>
        </w:rPr>
        <w:t>, ci-dessous désigné « le</w:t>
      </w:r>
    </w:p>
    <w:p>
      <w:pPr>
        <w:pStyle w:val="3"/>
        <w:widowControl w:val="0"/>
        <w:spacing w:before="12"/>
        <w:ind w:left="107" w:right="-20"/>
        <w:rPr>
          <w:sz w:val="22"/>
          <w:szCs w:val="22"/>
        </w:rPr>
      </w:pPr>
    </w:p>
    <w:p>
      <w:pPr>
        <w:pStyle w:val="3"/>
        <w:widowControl w:val="0"/>
        <w:spacing w:before="12"/>
        <w:ind w:left="107" w:right="-20"/>
        <w:rPr>
          <w:b/>
          <w:i/>
          <w:smallCaps/>
        </w:rPr>
      </w:pPr>
      <w:r>
        <w:rPr>
          <w:sz w:val="22"/>
          <w:szCs w:val="22"/>
        </w:rPr>
        <w:t>Fournisseur</w:t>
      </w:r>
      <w:r>
        <w:rPr>
          <w:i/>
          <w:sz w:val="22"/>
          <w:szCs w:val="22"/>
        </w:rPr>
        <w:t xml:space="preserve"> ou du prestataire</w:t>
      </w:r>
      <w:r>
        <w:rPr>
          <w:sz w:val="22"/>
          <w:szCs w:val="22"/>
        </w:rPr>
        <w:t xml:space="preserve"> », s’est engagé, en exécution du marché désigné « le marché », à réaliser</w:t>
      </w:r>
    </w:p>
    <w:p>
      <w:pPr>
        <w:pStyle w:val="3"/>
        <w:widowControl w:val="0"/>
        <w:spacing w:before="50"/>
        <w:ind w:left="107" w:right="-20"/>
        <w:rPr>
          <w:b/>
          <w:i/>
          <w:smallCaps/>
        </w:rPr>
      </w:pPr>
      <w:r>
        <w:rPr>
          <w:i/>
          <w:sz w:val="22"/>
          <w:szCs w:val="22"/>
        </w:rPr>
        <w:t>[indiquer la nature des fournitures et services connexes]</w:t>
      </w:r>
    </w:p>
    <w:p>
      <w:pPr>
        <w:pStyle w:val="3"/>
        <w:widowControl w:val="0"/>
        <w:ind w:left="107" w:right="-258"/>
        <w:rPr>
          <w:b/>
          <w:i/>
          <w:smallCaps/>
        </w:rPr>
      </w:pPr>
      <w:r>
        <w:rPr>
          <w:sz w:val="22"/>
          <w:szCs w:val="22"/>
        </w:rPr>
        <w:t>Attendu qu’il est stipulé dans le marché que le Fournisseur remettra au Maître d’Ouvrage</w:t>
      </w:r>
      <w:r>
        <w:rPr>
          <w:i/>
          <w:sz w:val="20"/>
          <w:szCs w:val="20"/>
        </w:rPr>
        <w:t xml:space="preserve"> </w:t>
      </w:r>
      <w:r>
        <w:rPr>
          <w:sz w:val="20"/>
          <w:szCs w:val="20"/>
        </w:rPr>
        <w:t>ou au Maître d’Ouvrage Délégué</w:t>
      </w:r>
      <w:r>
        <w:rPr>
          <w:sz w:val="22"/>
          <w:szCs w:val="22"/>
        </w:rPr>
        <w:t xml:space="preserve"> un cautionnement définitif, d’un montant égal à [indiquer le pourcentage compris entre 2 et 5 %] du montant de la tranche du marché correspondant, comme garantie de l’exécution de ses obligations de bonne fin conformément aux conditions du marché,</w:t>
      </w:r>
    </w:p>
    <w:p>
      <w:pPr>
        <w:pStyle w:val="3"/>
        <w:widowControl w:val="0"/>
        <w:ind w:left="107" w:right="-20"/>
        <w:rPr>
          <w:sz w:val="22"/>
          <w:szCs w:val="22"/>
        </w:rPr>
      </w:pPr>
    </w:p>
    <w:p>
      <w:pPr>
        <w:pStyle w:val="3"/>
        <w:widowControl w:val="0"/>
        <w:ind w:left="107" w:right="-20"/>
        <w:rPr>
          <w:b/>
          <w:i/>
          <w:smallCaps/>
        </w:rPr>
      </w:pPr>
      <w:r>
        <w:rPr>
          <w:sz w:val="22"/>
          <w:szCs w:val="22"/>
        </w:rPr>
        <w:t>Attendu que nous avons convenu de donner au Fournisseur ce cautionnement,</w:t>
      </w:r>
    </w:p>
    <w:p>
      <w:pPr>
        <w:pStyle w:val="3"/>
        <w:widowControl w:val="0"/>
        <w:ind w:left="107" w:right="165"/>
        <w:rPr>
          <w:sz w:val="22"/>
          <w:szCs w:val="22"/>
        </w:rPr>
      </w:pPr>
    </w:p>
    <w:p>
      <w:pPr>
        <w:pStyle w:val="3"/>
        <w:widowControl w:val="0"/>
        <w:ind w:left="107" w:right="165"/>
        <w:rPr>
          <w:b/>
          <w:i/>
          <w:smallCaps/>
        </w:rPr>
      </w:pPr>
      <w:r>
        <w:rPr>
          <w:sz w:val="22"/>
          <w:szCs w:val="22"/>
        </w:rPr>
        <w:t xml:space="preserve">Nous, </w:t>
      </w:r>
      <w:r>
        <w:rPr>
          <w:i/>
          <w:sz w:val="22"/>
          <w:szCs w:val="22"/>
        </w:rPr>
        <w:t>……………................................................................................................................................................................................………..  [nom et adresse de banque]</w:t>
      </w:r>
      <w:r>
        <w:rPr>
          <w:sz w:val="22"/>
          <w:szCs w:val="22"/>
        </w:rPr>
        <w:t xml:space="preserve">, représentée par </w:t>
      </w:r>
      <w:r>
        <w:rPr>
          <w:i/>
          <w:sz w:val="22"/>
          <w:szCs w:val="22"/>
        </w:rPr>
        <w:t>……………..........................................................................................................................………..  [noms des signataires]</w:t>
      </w:r>
      <w:r>
        <w:rPr>
          <w:sz w:val="22"/>
          <w:szCs w:val="22"/>
        </w:rPr>
        <w:t>,</w:t>
      </w:r>
    </w:p>
    <w:p>
      <w:pPr>
        <w:pStyle w:val="3"/>
        <w:widowControl w:val="0"/>
        <w:ind w:left="107" w:right="-258"/>
        <w:rPr>
          <w:sz w:val="22"/>
          <w:szCs w:val="22"/>
        </w:rPr>
      </w:pPr>
    </w:p>
    <w:p>
      <w:pPr>
        <w:pStyle w:val="3"/>
        <w:widowControl w:val="0"/>
        <w:ind w:left="107" w:right="-258"/>
        <w:rPr>
          <w:b/>
          <w:i/>
          <w:smallCaps/>
        </w:rPr>
      </w:pPr>
      <w:r>
        <w:rPr>
          <w:sz w:val="22"/>
          <w:szCs w:val="22"/>
        </w:rPr>
        <w:t>ci-dessous désignée « l’organisme financier », nous engageons à payer au Maître d’Ouvrage</w:t>
      </w:r>
      <w:r>
        <w:rPr>
          <w:sz w:val="20"/>
          <w:szCs w:val="20"/>
        </w:rPr>
        <w:t xml:space="preserve"> ou au Maître d’Ouvrage Délégué</w:t>
      </w:r>
      <w:r>
        <w:rPr>
          <w:sz w:val="22"/>
          <w:szCs w:val="22"/>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Pr>
          <w:i/>
          <w:sz w:val="22"/>
          <w:szCs w:val="22"/>
        </w:rPr>
        <w:t>……………...........................................  [en chiffres et en lettres]</w:t>
      </w:r>
      <w:r>
        <w:rPr>
          <w:sz w:val="22"/>
          <w:szCs w:val="22"/>
        </w:rPr>
        <w:t>.</w:t>
      </w:r>
    </w:p>
    <w:p>
      <w:pPr>
        <w:pStyle w:val="3"/>
        <w:widowControl w:val="0"/>
        <w:ind w:left="107" w:right="83"/>
        <w:jc w:val="both"/>
        <w:rPr>
          <w:b/>
          <w:i/>
          <w:smallCaps/>
        </w:rPr>
      </w:pPr>
      <w:r>
        <w:rPr>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pPr>
        <w:pStyle w:val="3"/>
        <w:widowControl w:val="0"/>
        <w:ind w:left="107" w:right="83"/>
        <w:jc w:val="both"/>
        <w:rPr>
          <w:b/>
          <w:i/>
          <w:smallCaps/>
        </w:rPr>
      </w:pPr>
      <w:r>
        <w:rPr>
          <w:sz w:val="22"/>
          <w:szCs w:val="22"/>
        </w:rPr>
        <w:t>Le présent cautionnement définitif prend effet à compter de sa signature et dès notification du marché. La caution sera libérée dans un délai (indiquer le délai) à compter de la date de réception provisoire des fournitures.</w:t>
      </w:r>
    </w:p>
    <w:p>
      <w:pPr>
        <w:pStyle w:val="3"/>
        <w:widowControl w:val="0"/>
        <w:ind w:left="107" w:right="-214"/>
        <w:rPr>
          <w:b/>
          <w:i/>
          <w:smallCaps/>
        </w:rPr>
      </w:pPr>
      <w:r>
        <w:rPr>
          <w:sz w:val="22"/>
          <w:szCs w:val="22"/>
        </w:rPr>
        <w:t>Après le délai susvisé, la caution devient sans objet et doit nous être automatiquement retournée sans aucune forme de procédure.</w:t>
      </w:r>
    </w:p>
    <w:p>
      <w:pPr>
        <w:pStyle w:val="3"/>
        <w:widowControl w:val="0"/>
        <w:ind w:left="107" w:right="82"/>
        <w:jc w:val="both"/>
        <w:rPr>
          <w:b/>
          <w:i/>
          <w:smallCaps/>
        </w:rPr>
      </w:pPr>
      <w:r>
        <w:rPr>
          <w:sz w:val="22"/>
          <w:szCs w:val="22"/>
        </w:rPr>
        <w:t>Toute demande de paiement formulée par le Maître d’Ouvrage</w:t>
      </w:r>
      <w:r>
        <w:rPr>
          <w:i/>
          <w:sz w:val="20"/>
          <w:szCs w:val="20"/>
        </w:rPr>
        <w:t xml:space="preserve"> </w:t>
      </w:r>
      <w:r>
        <w:rPr>
          <w:sz w:val="20"/>
          <w:szCs w:val="20"/>
        </w:rPr>
        <w:t>ou le Maître d’Ouvrage Délégué</w:t>
      </w:r>
      <w:r>
        <w:rPr>
          <w:sz w:val="22"/>
          <w:szCs w:val="22"/>
        </w:rPr>
        <w:t xml:space="preserve"> au titre de la présente garantie doit être faite par lettre recommandée avec accusé  de  réception,  parvenue  à  la  banque  pendant  la période de validité du présent engagement.</w:t>
      </w:r>
    </w:p>
    <w:p>
      <w:pPr>
        <w:pStyle w:val="3"/>
        <w:widowControl w:val="0"/>
        <w:spacing w:before="8"/>
        <w:rPr>
          <w:sz w:val="10"/>
          <w:szCs w:val="10"/>
        </w:rPr>
      </w:pPr>
    </w:p>
    <w:p>
      <w:pPr>
        <w:pStyle w:val="3"/>
        <w:widowControl w:val="0"/>
        <w:ind w:left="107" w:right="82"/>
        <w:jc w:val="both"/>
        <w:rPr>
          <w:b/>
          <w:i/>
          <w:smallCaps/>
        </w:rPr>
      </w:pPr>
      <w:r>
        <w:rPr>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pPr>
        <w:pStyle w:val="3"/>
        <w:widowControl w:val="0"/>
        <w:ind w:right="-20"/>
        <w:rPr>
          <w:i/>
          <w:sz w:val="22"/>
          <w:szCs w:val="22"/>
        </w:rPr>
      </w:pPr>
    </w:p>
    <w:p>
      <w:pPr>
        <w:pStyle w:val="3"/>
        <w:widowControl w:val="0"/>
        <w:ind w:left="4320" w:right="-20" w:firstLine="720"/>
        <w:rPr>
          <w:b/>
          <w:i/>
          <w:smallCaps/>
        </w:rPr>
      </w:pPr>
      <w:r>
        <w:rPr>
          <w:i/>
          <w:sz w:val="22"/>
          <w:szCs w:val="22"/>
        </w:rPr>
        <w:t>Signé et authentifié par l’Organisme financier</w:t>
      </w:r>
    </w:p>
    <w:p>
      <w:pPr>
        <w:pStyle w:val="3"/>
        <w:widowControl w:val="0"/>
        <w:rPr>
          <w:sz w:val="22"/>
          <w:szCs w:val="22"/>
        </w:rPr>
      </w:pPr>
    </w:p>
    <w:p>
      <w:pPr>
        <w:pStyle w:val="3"/>
        <w:widowControl w:val="0"/>
        <w:ind w:left="6445" w:right="-40"/>
        <w:rPr>
          <w:b/>
          <w:i/>
          <w:smallCaps/>
        </w:rPr>
      </w:pPr>
      <w:r>
        <w:rPr>
          <w:i/>
          <w:sz w:val="22"/>
          <w:szCs w:val="22"/>
        </w:rPr>
        <w:t xml:space="preserve">…..........................……….., le </w:t>
      </w:r>
    </w:p>
    <w:p>
      <w:pPr>
        <w:pStyle w:val="3"/>
        <w:widowControl w:val="0"/>
        <w:ind w:left="5040" w:right="-20" w:firstLine="720"/>
        <w:rPr>
          <w:b/>
          <w:i/>
          <w:smallCaps/>
        </w:rPr>
      </w:pPr>
      <w:r>
        <w:rPr>
          <w:i/>
          <w:sz w:val="22"/>
          <w:szCs w:val="22"/>
        </w:rPr>
        <w:t>[signature de la banque]</w:t>
      </w: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rPr>
          <w:b/>
          <w:i/>
          <w:smallCaps/>
        </w:rPr>
      </w:pPr>
      <w:r>
        <w:br w:type="textWrapping"/>
      </w:r>
    </w:p>
    <w:p>
      <w:pPr>
        <w:pStyle w:val="3"/>
        <w:widowControl w:val="0"/>
        <w:spacing w:line="360" w:lineRule="auto"/>
        <w:jc w:val="center"/>
        <w:rPr>
          <w:b/>
          <w:smallCaps/>
          <w:color w:val="000000"/>
          <w:sz w:val="32"/>
          <w:szCs w:val="32"/>
        </w:rPr>
      </w:pPr>
      <w:bookmarkStart w:id="198" w:name="_3tm4grq" w:colFirst="0" w:colLast="0"/>
      <w:bookmarkEnd w:id="198"/>
      <w:r>
        <w:rPr>
          <w:b/>
          <w:smallCaps/>
          <w:color w:val="000000"/>
          <w:sz w:val="32"/>
          <w:szCs w:val="32"/>
        </w:rPr>
        <w:t>ANNEXE N° 5 : MODÈLE DE CAUTIONNEMENT D'AVANCE DE DÉMARRAGE</w:t>
      </w:r>
    </w:p>
    <w:p>
      <w:pPr>
        <w:pStyle w:val="3"/>
        <w:widowControl w:val="0"/>
        <w:ind w:right="-20"/>
        <w:rPr>
          <w:sz w:val="22"/>
          <w:szCs w:val="22"/>
        </w:rPr>
      </w:pPr>
      <w:r>
        <w:rPr>
          <w:sz w:val="22"/>
          <w:szCs w:val="22"/>
        </w:rPr>
        <w:t>Organisme financier : …………...........................……………………</w:t>
      </w:r>
    </w:p>
    <w:p>
      <w:pPr>
        <w:pStyle w:val="3"/>
        <w:widowControl w:val="0"/>
        <w:spacing w:before="12"/>
        <w:ind w:right="-20"/>
        <w:rPr>
          <w:sz w:val="22"/>
          <w:szCs w:val="22"/>
        </w:rPr>
      </w:pPr>
      <w:r>
        <w:rPr>
          <w:sz w:val="22"/>
          <w:szCs w:val="22"/>
        </w:rPr>
        <w:t>Référence du Cautionnement : N° …………...........................……………………</w:t>
      </w:r>
    </w:p>
    <w:p>
      <w:pPr>
        <w:pStyle w:val="3"/>
        <w:widowControl w:val="0"/>
        <w:spacing w:before="12"/>
        <w:ind w:right="-20"/>
        <w:rPr>
          <w:sz w:val="22"/>
          <w:szCs w:val="22"/>
        </w:rPr>
      </w:pPr>
      <w:r>
        <w:rPr>
          <w:sz w:val="22"/>
          <w:szCs w:val="22"/>
        </w:rPr>
        <w:t xml:space="preserve">Adressée </w:t>
      </w:r>
      <w:r>
        <w:rPr>
          <w:i/>
          <w:sz w:val="22"/>
          <w:szCs w:val="22"/>
        </w:rPr>
        <w:t>[indiquer le Maître d’Ouvrage</w:t>
      </w:r>
      <w:r>
        <w:rPr>
          <w:sz w:val="22"/>
          <w:szCs w:val="22"/>
        </w:rPr>
        <w:t xml:space="preserve"> </w:t>
      </w:r>
      <w:r>
        <w:rPr>
          <w:i/>
          <w:sz w:val="22"/>
          <w:szCs w:val="22"/>
        </w:rPr>
        <w:t>ou le Maître d’Ouvrage Délégué]</w:t>
      </w:r>
    </w:p>
    <w:p>
      <w:pPr>
        <w:pStyle w:val="3"/>
        <w:widowControl w:val="0"/>
        <w:spacing w:before="50"/>
        <w:ind w:right="-20"/>
        <w:rPr>
          <w:sz w:val="22"/>
          <w:szCs w:val="22"/>
        </w:rPr>
      </w:pPr>
      <w:r>
        <w:rPr>
          <w:i/>
          <w:sz w:val="22"/>
          <w:szCs w:val="22"/>
        </w:rPr>
        <w:t>[Adresse du Maître d’Ouvrage</w:t>
      </w:r>
      <w:r>
        <w:rPr>
          <w:sz w:val="22"/>
          <w:szCs w:val="22"/>
        </w:rPr>
        <w:t xml:space="preserve"> ou du Maître d’Ouvrage Délégué</w:t>
      </w:r>
      <w:r>
        <w:rPr>
          <w:i/>
          <w:sz w:val="22"/>
          <w:szCs w:val="22"/>
        </w:rPr>
        <w:t>]</w:t>
      </w:r>
    </w:p>
    <w:p>
      <w:pPr>
        <w:pStyle w:val="3"/>
        <w:widowControl w:val="0"/>
        <w:ind w:right="-20"/>
        <w:rPr>
          <w:sz w:val="22"/>
          <w:szCs w:val="22"/>
        </w:rPr>
      </w:pPr>
      <w:r>
        <w:rPr>
          <w:sz w:val="22"/>
          <w:szCs w:val="22"/>
        </w:rPr>
        <w:t>ci-dessous désigné « le Maître d’Ouvrage ou le Maître d’Ouvrage Délégué »</w:t>
      </w:r>
    </w:p>
    <w:p>
      <w:pPr>
        <w:pStyle w:val="3"/>
        <w:widowControl w:val="0"/>
        <w:ind w:right="-20"/>
        <w:rPr>
          <w:sz w:val="22"/>
          <w:szCs w:val="22"/>
        </w:rPr>
      </w:pPr>
    </w:p>
    <w:p>
      <w:pPr>
        <w:pStyle w:val="3"/>
        <w:widowControl w:val="0"/>
        <w:ind w:right="-20"/>
        <w:rPr>
          <w:sz w:val="22"/>
          <w:szCs w:val="22"/>
        </w:rPr>
      </w:pPr>
      <w:r>
        <w:rPr>
          <w:sz w:val="22"/>
          <w:szCs w:val="22"/>
        </w:rPr>
        <w:t xml:space="preserve">Nous soussignés (organisme financier, adresse), déclarons par la présente garantir, pour le compte de : </w:t>
      </w:r>
      <w:r>
        <w:rPr>
          <w:i/>
          <w:sz w:val="22"/>
          <w:szCs w:val="22"/>
        </w:rPr>
        <w:t>……………...............................................……….. [le titulaire]</w:t>
      </w:r>
      <w:r>
        <w:rPr>
          <w:sz w:val="22"/>
          <w:szCs w:val="22"/>
        </w:rPr>
        <w:t xml:space="preserve">, au profit de </w:t>
      </w:r>
    </w:p>
    <w:p>
      <w:pPr>
        <w:pStyle w:val="3"/>
        <w:widowControl w:val="0"/>
        <w:ind w:right="-20"/>
        <w:rPr>
          <w:sz w:val="22"/>
          <w:szCs w:val="22"/>
        </w:rPr>
      </w:pPr>
      <w:r>
        <w:rPr>
          <w:sz w:val="22"/>
          <w:szCs w:val="22"/>
        </w:rPr>
        <w:t>Maître d’Ouvrage</w:t>
      </w:r>
      <w:r>
        <w:rPr>
          <w:i/>
          <w:sz w:val="22"/>
          <w:szCs w:val="22"/>
        </w:rPr>
        <w:t xml:space="preserve"> </w:t>
      </w:r>
      <w:r>
        <w:rPr>
          <w:sz w:val="22"/>
          <w:szCs w:val="22"/>
        </w:rPr>
        <w:t xml:space="preserve">ou Maître d’Ouvrage Délégué </w:t>
      </w:r>
      <w:r>
        <w:rPr>
          <w:i/>
          <w:sz w:val="22"/>
          <w:szCs w:val="22"/>
        </w:rPr>
        <w:t>[Adresse du Maître d’Ouvrage ou du Maître d’Ouvrage Délégué] (« le bénéficiaire »)</w:t>
      </w:r>
    </w:p>
    <w:p>
      <w:pPr>
        <w:pStyle w:val="3"/>
        <w:widowControl w:val="0"/>
        <w:ind w:right="-20"/>
        <w:jc w:val="both"/>
        <w:rPr>
          <w:sz w:val="22"/>
          <w:szCs w:val="22"/>
        </w:rPr>
      </w:pPr>
      <w:r>
        <w:rPr>
          <w:sz w:val="22"/>
          <w:szCs w:val="22"/>
        </w:rPr>
        <w:t xml:space="preserve">Le paiement, sans contestation et dès réception de la première demande écrite du bénéficiaire, déclarant que ………….................…….. </w:t>
      </w:r>
      <w:r>
        <w:rPr>
          <w:i/>
          <w:sz w:val="22"/>
          <w:szCs w:val="22"/>
        </w:rPr>
        <w:t xml:space="preserve">[le titulaire] </w:t>
      </w:r>
      <w:r>
        <w:rPr>
          <w:sz w:val="22"/>
          <w:szCs w:val="22"/>
        </w:rPr>
        <w:t xml:space="preserve">ne s’est pas acquitté de ses obligations, relatives au remboursement de l’avance de démarrage selon les conditions du marché ………….................…….. du …………..................................…….. relatif aux fournitures et services connexes </w:t>
      </w:r>
      <w:r>
        <w:rPr>
          <w:i/>
          <w:sz w:val="22"/>
          <w:szCs w:val="22"/>
        </w:rPr>
        <w:t>[indiquer l’objet et les références de l’appel d’offres et le lot, éventuellement]</w:t>
      </w:r>
      <w:r>
        <w:rPr>
          <w:sz w:val="22"/>
          <w:szCs w:val="22"/>
        </w:rPr>
        <w:t xml:space="preserve">, de la somme totale maximum correspondant à l’avance </w:t>
      </w:r>
      <w:r>
        <w:rPr>
          <w:i/>
          <w:sz w:val="22"/>
          <w:szCs w:val="22"/>
        </w:rPr>
        <w:t xml:space="preserve">[quarante 40%  et trente 30% (respectivement pour les marchés de fournitures et de services connexes)  ]  </w:t>
      </w:r>
      <w:r>
        <w:rPr>
          <w:sz w:val="22"/>
          <w:szCs w:val="22"/>
        </w:rPr>
        <w:t>du montant Toutes Taxes Comprises du marché n° ………….......................……..,  payable dès la notification de l’ordre de service correspondant, soit :…………..........…..  francs CFA</w:t>
      </w:r>
    </w:p>
    <w:p>
      <w:pPr>
        <w:pStyle w:val="3"/>
        <w:widowControl w:val="0"/>
        <w:tabs>
          <w:tab w:val="left" w:pos="6420"/>
        </w:tabs>
        <w:ind w:right="-20"/>
        <w:jc w:val="both"/>
        <w:rPr>
          <w:sz w:val="22"/>
          <w:szCs w:val="22"/>
        </w:rPr>
      </w:pPr>
      <w:r>
        <w:rPr>
          <w:sz w:val="22"/>
          <w:szCs w:val="22"/>
        </w:rPr>
        <w:t>La présente garantie entrera en vigueur et prendra effet dès réception des parts respectives de cette avance sur les comptes de …………..........................……..</w:t>
      </w:r>
      <w:r>
        <w:rPr>
          <w:i/>
          <w:sz w:val="22"/>
          <w:szCs w:val="22"/>
        </w:rPr>
        <w:t xml:space="preserve">[le titulaire] </w:t>
      </w:r>
      <w:r>
        <w:rPr>
          <w:sz w:val="22"/>
          <w:szCs w:val="22"/>
        </w:rPr>
        <w:t>ouverts auprès de la banque ………….................……... sous le n° …………....................</w:t>
      </w:r>
    </w:p>
    <w:p>
      <w:pPr>
        <w:pStyle w:val="3"/>
        <w:widowControl w:val="0"/>
        <w:ind w:right="-20"/>
        <w:jc w:val="both"/>
        <w:rPr>
          <w:sz w:val="22"/>
          <w:szCs w:val="22"/>
        </w:rPr>
      </w:pPr>
      <w:r>
        <w:rPr>
          <w:sz w:val="22"/>
          <w:szCs w:val="22"/>
        </w:rPr>
        <w:t>Elle restera en vigueur jusqu’au remboursement de l’avance conformément à la procédure fixée par le CCAP. Toutefois, le montant du  cautionnement sera réduit proportionnellement au remboursement de l’avance au fur et à mesure de son remboursement.</w:t>
      </w:r>
    </w:p>
    <w:p>
      <w:pPr>
        <w:pStyle w:val="3"/>
        <w:widowControl w:val="0"/>
        <w:ind w:right="-20"/>
        <w:jc w:val="both"/>
        <w:rPr>
          <w:sz w:val="22"/>
          <w:szCs w:val="22"/>
        </w:rPr>
      </w:pPr>
      <w:r>
        <w:rPr>
          <w:sz w:val="22"/>
          <w:szCs w:val="22"/>
        </w:rPr>
        <w:t>La loi et la juridiction applicables à la garantie sont celles de la République du Cameroun.</w:t>
      </w:r>
    </w:p>
    <w:p>
      <w:pPr>
        <w:pStyle w:val="3"/>
        <w:widowControl w:val="0"/>
        <w:ind w:right="-20"/>
        <w:jc w:val="center"/>
        <w:rPr>
          <w:b/>
          <w:i/>
          <w:smallCaps/>
        </w:rPr>
      </w:pPr>
      <w:r>
        <w:rPr>
          <w:i/>
        </w:rPr>
        <w:t>Signé et authentifié par l’organisme financier</w:t>
      </w:r>
    </w:p>
    <w:p>
      <w:pPr>
        <w:pStyle w:val="3"/>
        <w:widowControl w:val="0"/>
        <w:ind w:right="-20"/>
        <w:jc w:val="center"/>
        <w:rPr>
          <w:b/>
          <w:i/>
          <w:smallCaps/>
        </w:rPr>
      </w:pPr>
    </w:p>
    <w:p>
      <w:pPr>
        <w:pStyle w:val="3"/>
        <w:widowControl w:val="0"/>
        <w:ind w:right="-20"/>
        <w:jc w:val="center"/>
        <w:rPr>
          <w:b/>
          <w:i/>
          <w:smallCaps/>
        </w:rPr>
      </w:pPr>
      <w:r>
        <w:rPr>
          <w:i/>
        </w:rPr>
        <w:t>à ……………..........................……….., le ……………..........................………..</w:t>
      </w:r>
    </w:p>
    <w:p>
      <w:pPr>
        <w:pStyle w:val="3"/>
        <w:widowControl w:val="0"/>
        <w:spacing w:before="8"/>
        <w:ind w:right="-20"/>
        <w:jc w:val="center"/>
        <w:rPr>
          <w:b/>
          <w:i/>
          <w:smallCaps/>
        </w:rPr>
      </w:pPr>
    </w:p>
    <w:p>
      <w:pPr>
        <w:pStyle w:val="3"/>
        <w:widowControl w:val="0"/>
        <w:ind w:right="-20"/>
        <w:jc w:val="center"/>
        <w:rPr>
          <w:i/>
          <w:sz w:val="20"/>
          <w:szCs w:val="20"/>
        </w:rPr>
      </w:pPr>
      <w:r>
        <w:rPr>
          <w:i/>
        </w:rPr>
        <w:t>[signature de l’organisme financier]</w:t>
      </w:r>
    </w:p>
    <w:p>
      <w:pPr>
        <w:pStyle w:val="3"/>
        <w:widowControl w:val="0"/>
        <w:ind w:right="-20"/>
        <w:jc w:val="center"/>
        <w:rPr>
          <w:i/>
          <w:sz w:val="20"/>
          <w:szCs w:val="20"/>
        </w:rPr>
      </w:pPr>
    </w:p>
    <w:p>
      <w:pPr>
        <w:pStyle w:val="3"/>
        <w:widowControl w:val="0"/>
        <w:ind w:right="-20"/>
        <w:jc w:val="center"/>
        <w:rPr>
          <w:i/>
          <w:sz w:val="20"/>
          <w:szCs w:val="20"/>
        </w:rPr>
      </w:pPr>
    </w:p>
    <w:p>
      <w:pPr>
        <w:pStyle w:val="3"/>
        <w:widowControl w:val="0"/>
        <w:ind w:right="-20"/>
        <w:jc w:val="center"/>
        <w:rPr>
          <w:b/>
          <w:i/>
          <w:smallCaps/>
        </w:rPr>
      </w:pPr>
    </w:p>
    <w:p>
      <w:pPr>
        <w:pStyle w:val="3"/>
        <w:widowControl w:val="0"/>
        <w:rPr>
          <w:b/>
          <w:i/>
          <w:smallCaps/>
          <w:color w:val="000000"/>
          <w:sz w:val="32"/>
          <w:szCs w:val="32"/>
        </w:rPr>
      </w:pPr>
      <w:bookmarkStart w:id="199" w:name="_28reqzj" w:colFirst="0" w:colLast="0"/>
      <w:bookmarkEnd w:id="199"/>
      <w:r>
        <w:rPr>
          <w:b/>
          <w:smallCaps/>
          <w:color w:val="000000"/>
          <w:sz w:val="32"/>
          <w:szCs w:val="32"/>
        </w:rPr>
        <w:t>ANNEXE N°6 : MODÈLE DE CAUTIONNEMENT DE BONNE EXÉCUTION EN REMPLACEMENT DE LA RETENUE</w:t>
      </w:r>
      <w:r>
        <w:rPr>
          <w:b/>
          <w:i/>
          <w:smallCaps/>
          <w:color w:val="000000"/>
          <w:sz w:val="32"/>
          <w:szCs w:val="32"/>
        </w:rPr>
        <w:t xml:space="preserve"> DE RETENUE DE GARANTIE</w:t>
      </w:r>
    </w:p>
    <w:p>
      <w:pPr>
        <w:pStyle w:val="3"/>
        <w:widowControl w:val="0"/>
        <w:ind w:right="-20"/>
        <w:rPr>
          <w:b/>
          <w:i/>
          <w:smallCaps/>
        </w:rPr>
      </w:pPr>
      <w:r>
        <w:t xml:space="preserve">Organisme financier : </w:t>
      </w:r>
      <w:r>
        <w:rPr>
          <w:sz w:val="12"/>
          <w:szCs w:val="12"/>
        </w:rPr>
        <w:t>…………...........................……………………</w:t>
      </w:r>
    </w:p>
    <w:p>
      <w:pPr>
        <w:pStyle w:val="3"/>
        <w:widowControl w:val="0"/>
        <w:spacing w:before="12"/>
        <w:ind w:right="-20"/>
        <w:rPr>
          <w:b/>
          <w:i/>
          <w:smallCaps/>
        </w:rPr>
      </w:pPr>
      <w:r>
        <w:rPr>
          <w:sz w:val="22"/>
          <w:szCs w:val="22"/>
        </w:rPr>
        <w:t>Référence du Cautionnement : N° …………...........................……………………</w:t>
      </w:r>
    </w:p>
    <w:p>
      <w:pPr>
        <w:pStyle w:val="3"/>
        <w:widowControl w:val="0"/>
        <w:spacing w:before="12"/>
        <w:ind w:right="-20"/>
        <w:rPr>
          <w:sz w:val="22"/>
          <w:szCs w:val="22"/>
        </w:rPr>
      </w:pPr>
      <w:r>
        <w:rPr>
          <w:sz w:val="22"/>
          <w:szCs w:val="22"/>
        </w:rPr>
        <w:t xml:space="preserve">Adressée </w:t>
      </w:r>
      <w:r>
        <w:rPr>
          <w:i/>
          <w:sz w:val="22"/>
          <w:szCs w:val="22"/>
        </w:rPr>
        <w:t>[indiquer le Maître d’Ouvrage</w:t>
      </w:r>
      <w:r>
        <w:rPr>
          <w:sz w:val="22"/>
          <w:szCs w:val="22"/>
        </w:rPr>
        <w:t xml:space="preserve"> </w:t>
      </w:r>
      <w:r>
        <w:rPr>
          <w:i/>
          <w:sz w:val="22"/>
          <w:szCs w:val="22"/>
        </w:rPr>
        <w:t>ou le Maître d’Ouvrage Délégué]</w:t>
      </w:r>
    </w:p>
    <w:p>
      <w:pPr>
        <w:pStyle w:val="3"/>
        <w:widowControl w:val="0"/>
        <w:spacing w:before="50"/>
        <w:ind w:right="-20"/>
        <w:rPr>
          <w:sz w:val="22"/>
          <w:szCs w:val="22"/>
        </w:rPr>
      </w:pPr>
      <w:r>
        <w:rPr>
          <w:i/>
          <w:sz w:val="22"/>
          <w:szCs w:val="22"/>
        </w:rPr>
        <w:t>[Adresse du Maître d’Ouvrage</w:t>
      </w:r>
      <w:r>
        <w:rPr>
          <w:sz w:val="22"/>
          <w:szCs w:val="22"/>
        </w:rPr>
        <w:t xml:space="preserve"> ou du Maître d’Ouvrage Délégué</w:t>
      </w:r>
      <w:r>
        <w:rPr>
          <w:i/>
          <w:sz w:val="22"/>
          <w:szCs w:val="22"/>
        </w:rPr>
        <w:t>]</w:t>
      </w:r>
    </w:p>
    <w:p>
      <w:pPr>
        <w:pStyle w:val="3"/>
        <w:widowControl w:val="0"/>
        <w:ind w:right="-20"/>
        <w:rPr>
          <w:b/>
          <w:i/>
          <w:smallCaps/>
        </w:rPr>
      </w:pPr>
      <w:r>
        <w:rPr>
          <w:sz w:val="22"/>
          <w:szCs w:val="22"/>
        </w:rPr>
        <w:t>ci-dessous désigné « le Maître d’Ouvrage ou le Maître d’Ouvrage Délégué »</w:t>
      </w:r>
    </w:p>
    <w:p>
      <w:pPr>
        <w:pStyle w:val="3"/>
        <w:widowControl w:val="0"/>
        <w:ind w:right="-20"/>
        <w:jc w:val="both"/>
        <w:rPr>
          <w:b/>
          <w:i/>
          <w:smallCaps/>
        </w:rPr>
      </w:pPr>
      <w:r>
        <w:rPr>
          <w:sz w:val="22"/>
          <w:szCs w:val="22"/>
        </w:rPr>
        <w:t>Attendu que ………….................................................................n</w:t>
      </w:r>
      <w:r>
        <w:rPr>
          <w:i/>
          <w:sz w:val="22"/>
          <w:szCs w:val="22"/>
        </w:rPr>
        <w:t>om et adresse du fournisseur ou du prestataire]</w:t>
      </w:r>
      <w:r>
        <w:rPr>
          <w:sz w:val="22"/>
          <w:szCs w:val="22"/>
        </w:rPr>
        <w:t>,</w:t>
      </w:r>
    </w:p>
    <w:p>
      <w:pPr>
        <w:pStyle w:val="3"/>
        <w:widowControl w:val="0"/>
        <w:spacing w:before="12"/>
        <w:ind w:right="-20"/>
        <w:jc w:val="both"/>
        <w:rPr>
          <w:b/>
          <w:i/>
          <w:smallCaps/>
        </w:rPr>
      </w:pPr>
      <w:r>
        <w:rPr>
          <w:sz w:val="22"/>
          <w:szCs w:val="22"/>
        </w:rPr>
        <w:t>ci-dessous désigné « le Fournisseur», s’est engagé, en exécution du marché, livrer les  fournitures de [indiquer l’objet des prestations]</w:t>
      </w:r>
    </w:p>
    <w:p>
      <w:pPr>
        <w:pStyle w:val="3"/>
        <w:widowControl w:val="0"/>
        <w:ind w:right="-20"/>
        <w:rPr>
          <w:b/>
          <w:i/>
          <w:smallCaps/>
        </w:rPr>
      </w:pPr>
      <w:r>
        <w:rPr>
          <w:sz w:val="22"/>
          <w:szCs w:val="22"/>
        </w:rPr>
        <w:t xml:space="preserve">Attendu qu’il est stipulé dans le marché que la retenue de garantie fixée à </w:t>
      </w:r>
      <w:r>
        <w:rPr>
          <w:i/>
          <w:sz w:val="22"/>
          <w:szCs w:val="22"/>
        </w:rPr>
        <w:t xml:space="preserve">[pourcentage inférieur à 10% à préciser]  </w:t>
      </w:r>
      <w:r>
        <w:rPr>
          <w:sz w:val="22"/>
          <w:szCs w:val="22"/>
        </w:rPr>
        <w:t>du montant TTC du marché peut être remplacée par une caution solidaire,</w:t>
      </w:r>
    </w:p>
    <w:p>
      <w:pPr>
        <w:pStyle w:val="3"/>
        <w:widowControl w:val="0"/>
        <w:ind w:right="-20"/>
        <w:rPr>
          <w:b/>
          <w:i/>
          <w:smallCaps/>
        </w:rPr>
      </w:pPr>
      <w:r>
        <w:rPr>
          <w:sz w:val="22"/>
          <w:szCs w:val="22"/>
        </w:rPr>
        <w:t>Attendu que nous avons convenu de donner au Fournisseur ce cautionnement,</w:t>
      </w:r>
    </w:p>
    <w:p>
      <w:pPr>
        <w:pStyle w:val="3"/>
        <w:widowControl w:val="0"/>
        <w:spacing w:before="12"/>
        <w:ind w:right="-20"/>
        <w:rPr>
          <w:b/>
          <w:i/>
          <w:smallCaps/>
        </w:rPr>
      </w:pPr>
      <w:r>
        <w:rPr>
          <w:sz w:val="22"/>
          <w:szCs w:val="22"/>
        </w:rPr>
        <w:t>Nous, …...........................</w:t>
      </w:r>
      <w:r>
        <w:rPr>
          <w:i/>
          <w:sz w:val="22"/>
          <w:szCs w:val="22"/>
        </w:rPr>
        <w:t xml:space="preserve"> adresse organisme financier]</w:t>
      </w:r>
      <w:r>
        <w:rPr>
          <w:sz w:val="22"/>
          <w:szCs w:val="22"/>
        </w:rPr>
        <w:t>, représentée par …...........................</w:t>
      </w:r>
      <w:r>
        <w:rPr>
          <w:i/>
          <w:sz w:val="22"/>
          <w:szCs w:val="22"/>
        </w:rPr>
        <w:t>noms des signataires]</w:t>
      </w:r>
      <w:r>
        <w:rPr>
          <w:sz w:val="22"/>
          <w:szCs w:val="22"/>
        </w:rPr>
        <w:t>, et ci-dessous désignée « organisme financier »,</w:t>
      </w:r>
    </w:p>
    <w:p>
      <w:pPr>
        <w:pStyle w:val="3"/>
        <w:widowControl w:val="0"/>
        <w:ind w:right="-20"/>
        <w:jc w:val="both"/>
        <w:rPr>
          <w:b/>
          <w:i/>
          <w:smallCaps/>
        </w:rPr>
      </w:pPr>
      <w:r>
        <w:rPr>
          <w:sz w:val="22"/>
          <w:szCs w:val="22"/>
        </w:rPr>
        <w:t>Dès lors, nous affirmons par les présentes que nous nous portons garants et responsables à l’égard du Maître d’Ouvrage</w:t>
      </w:r>
      <w:r>
        <w:rPr>
          <w:i/>
          <w:sz w:val="22"/>
          <w:szCs w:val="22"/>
        </w:rPr>
        <w:t xml:space="preserve"> ou du Maître d’Ouvrage Délégué</w:t>
      </w:r>
      <w:r>
        <w:rPr>
          <w:sz w:val="22"/>
          <w:szCs w:val="22"/>
        </w:rPr>
        <w:t xml:space="preserve">, au nom du Fournisseur ou du prestataire, pour un montant maximum de …………....................... </w:t>
      </w:r>
      <w:r>
        <w:rPr>
          <w:i/>
          <w:sz w:val="22"/>
          <w:szCs w:val="22"/>
        </w:rPr>
        <w:t>[en chiffres et en lettres]</w:t>
      </w:r>
      <w:r>
        <w:rPr>
          <w:sz w:val="22"/>
          <w:szCs w:val="22"/>
        </w:rPr>
        <w:t>, correspondant à [pourcentage inférieur à 10% à préciser] du montant du marché</w:t>
      </w:r>
      <w:r>
        <w:rPr>
          <w:sz w:val="36"/>
          <w:szCs w:val="36"/>
          <w:vertAlign w:val="superscript"/>
        </w:rPr>
        <w:t>(10)</w:t>
      </w:r>
    </w:p>
    <w:p>
      <w:pPr>
        <w:pStyle w:val="3"/>
        <w:widowControl w:val="0"/>
        <w:ind w:right="-20"/>
        <w:jc w:val="both"/>
        <w:rPr>
          <w:b/>
          <w:i/>
          <w:smallCaps/>
        </w:rPr>
      </w:pPr>
      <w:r>
        <w:rPr>
          <w:sz w:val="22"/>
          <w:szCs w:val="22"/>
        </w:rPr>
        <w:t>Et  nous nous  engageons  à  payer  au  Maître  d’Ouvrage ou au Maître d’Ouvrage Délégué</w:t>
      </w:r>
      <w:r>
        <w:rPr>
          <w:i/>
          <w:sz w:val="22"/>
          <w:szCs w:val="22"/>
        </w:rPr>
        <w:t xml:space="preserve"> </w:t>
      </w:r>
      <w:r>
        <w:rPr>
          <w:sz w:val="22"/>
          <w:szCs w:val="22"/>
        </w:rPr>
        <w:t>,  dans  un  délai  maximum  de  huit  (08) semaines, sur simple demande écrite de celui-ci déclarant que le Fournisseur</w:t>
      </w:r>
      <w:r>
        <w:rPr>
          <w:i/>
          <w:sz w:val="22"/>
          <w:szCs w:val="22"/>
        </w:rPr>
        <w:t xml:space="preserve"> </w:t>
      </w:r>
      <w:r>
        <w:rPr>
          <w:sz w:val="22"/>
          <w:szCs w:val="22"/>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p>
    <w:p>
      <w:pPr>
        <w:pStyle w:val="3"/>
        <w:widowControl w:val="0"/>
        <w:ind w:right="-20"/>
        <w:rPr>
          <w:b/>
          <w:i/>
          <w:smallCaps/>
        </w:rPr>
      </w:pPr>
      <w:r>
        <w:rPr>
          <w:sz w:val="22"/>
          <w:szCs w:val="22"/>
        </w:rPr>
        <w:t>de la somme indiquée ci-dessus.</w:t>
      </w:r>
    </w:p>
    <w:p>
      <w:pPr>
        <w:pStyle w:val="3"/>
        <w:widowControl w:val="0"/>
        <w:ind w:right="-20"/>
        <w:jc w:val="both"/>
        <w:rPr>
          <w:b/>
          <w:i/>
          <w:smallCaps/>
        </w:rPr>
      </w:pPr>
      <w:r>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pStyle w:val="3"/>
        <w:widowControl w:val="0"/>
        <w:spacing w:before="17"/>
        <w:ind w:right="-20"/>
        <w:rPr>
          <w:sz w:val="22"/>
          <w:szCs w:val="22"/>
        </w:rPr>
      </w:pPr>
    </w:p>
    <w:p>
      <w:pPr>
        <w:pStyle w:val="3"/>
        <w:widowControl w:val="0"/>
        <w:ind w:right="-20"/>
        <w:jc w:val="both"/>
        <w:rPr>
          <w:b/>
          <w:i/>
          <w:smallCaps/>
        </w:rPr>
      </w:pPr>
      <w:r>
        <w:rPr>
          <w:sz w:val="22"/>
          <w:szCs w:val="22"/>
        </w:rPr>
        <w:t>La présente garantie entre en vigueur dès sa signature. Elle sera libérée dans un délai de trente (30) jours à compter de la date de réception définitive des travaux, et sur mainlevée délivrée par le Maître d’Ouvrage ou au Maître d’Ouvrage Délégué.</w:t>
      </w:r>
    </w:p>
    <w:p>
      <w:pPr>
        <w:pStyle w:val="3"/>
        <w:widowControl w:val="0"/>
        <w:ind w:right="-20"/>
        <w:rPr>
          <w:b/>
          <w:i/>
          <w:smallCaps/>
        </w:rPr>
      </w:pPr>
      <w:r>
        <w:rPr>
          <w:sz w:val="22"/>
          <w:szCs w:val="22"/>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pPr>
        <w:pStyle w:val="3"/>
        <w:widowControl w:val="0"/>
        <w:ind w:right="-20"/>
        <w:jc w:val="both"/>
        <w:rPr>
          <w:b/>
          <w:i/>
          <w:smallCaps/>
        </w:rPr>
      </w:pPr>
      <w:r>
        <w:rPr>
          <w:sz w:val="22"/>
          <w:szCs w:val="22"/>
        </w:rPr>
        <w:t>La présente caution est soumise pour son interprétation et son exécution au droit camerounais. Les tribunaux camerounais seront seuls compétents pour statuer sur tout ce qui concerne le présent engagement et ses suites.</w:t>
      </w:r>
    </w:p>
    <w:p>
      <w:pPr>
        <w:pStyle w:val="3"/>
        <w:widowControl w:val="0"/>
        <w:ind w:left="5040" w:right="-20"/>
        <w:jc w:val="both"/>
        <w:rPr>
          <w:b/>
          <w:i/>
          <w:smallCaps/>
        </w:rPr>
      </w:pPr>
      <w:r>
        <w:rPr>
          <w:i/>
          <w:sz w:val="22"/>
          <w:szCs w:val="22"/>
        </w:rPr>
        <w:t>Signé et authentifié par l’organisme financier</w:t>
      </w:r>
    </w:p>
    <w:p>
      <w:pPr>
        <w:pStyle w:val="3"/>
        <w:widowControl w:val="0"/>
        <w:ind w:left="5613" w:right="-20"/>
        <w:rPr>
          <w:b/>
          <w:i/>
          <w:smallCaps/>
        </w:rPr>
      </w:pPr>
      <w:r>
        <w:rPr>
          <w:i/>
          <w:sz w:val="22"/>
          <w:szCs w:val="22"/>
        </w:rPr>
        <w:t>à……………., le …………………</w:t>
      </w:r>
    </w:p>
    <w:p>
      <w:pPr>
        <w:pStyle w:val="3"/>
        <w:widowControl w:val="0"/>
        <w:tabs>
          <w:tab w:val="left" w:pos="993"/>
          <w:tab w:val="left" w:pos="4536"/>
        </w:tabs>
        <w:ind w:left="5613" w:right="-20"/>
        <w:rPr>
          <w:i/>
          <w:sz w:val="22"/>
          <w:szCs w:val="22"/>
        </w:rPr>
      </w:pPr>
    </w:p>
    <w:p>
      <w:pPr>
        <w:pStyle w:val="3"/>
        <w:widowControl w:val="0"/>
        <w:tabs>
          <w:tab w:val="left" w:pos="993"/>
          <w:tab w:val="left" w:pos="4536"/>
        </w:tabs>
        <w:ind w:left="5613" w:right="-20"/>
        <w:rPr>
          <w:b/>
          <w:i/>
          <w:smallCaps/>
        </w:rPr>
      </w:pPr>
      <w:r>
        <w:rPr>
          <w:i/>
          <w:sz w:val="22"/>
          <w:szCs w:val="22"/>
        </w:rPr>
        <w:t>.[signature de l’Organisme financier]</w:t>
      </w:r>
    </w:p>
    <w:p>
      <w:pPr>
        <w:pStyle w:val="3"/>
        <w:widowControl w:val="0"/>
        <w:spacing w:before="94"/>
        <w:ind w:right="-20"/>
        <w:rPr>
          <w:i/>
          <w:sz w:val="22"/>
          <w:szCs w:val="22"/>
        </w:rPr>
      </w:pPr>
      <w:r>
        <w:rPr>
          <w:i/>
          <w:sz w:val="36"/>
          <w:szCs w:val="36"/>
          <w:vertAlign w:val="superscript"/>
        </w:rPr>
        <w:t xml:space="preserve">(10) </w:t>
      </w:r>
      <w:r>
        <w:rPr>
          <w:i/>
          <w:sz w:val="22"/>
          <w:szCs w:val="22"/>
        </w:rPr>
        <w:t>Cas où la caution est établie une fois au démarrage des travaux et couvre la totalité de la garantie, soit 10% du marché.</w:t>
      </w:r>
    </w:p>
    <w:p>
      <w:pPr>
        <w:pStyle w:val="3"/>
        <w:rPr>
          <w:b/>
          <w:smallCaps/>
          <w:sz w:val="32"/>
          <w:szCs w:val="32"/>
        </w:rPr>
      </w:pPr>
      <w:bookmarkStart w:id="200" w:name="_471acqr" w:colFirst="0" w:colLast="0"/>
      <w:bookmarkEnd w:id="200"/>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b/>
          <w:smallCaps/>
          <w:sz w:val="32"/>
          <w:szCs w:val="32"/>
        </w:rPr>
      </w:pPr>
    </w:p>
    <w:p>
      <w:pPr>
        <w:pStyle w:val="3"/>
        <w:rPr>
          <w:i/>
          <w:sz w:val="22"/>
          <w:szCs w:val="22"/>
        </w:rPr>
      </w:pPr>
      <w:r>
        <w:rPr>
          <w:b/>
          <w:smallCaps/>
          <w:sz w:val="32"/>
          <w:szCs w:val="32"/>
        </w:rPr>
        <w:t>ANNEXE N°7 : LETTRE DE SOUMISSION DE LA PROPOSITION TECHNIQUE</w:t>
      </w:r>
    </w:p>
    <w:p>
      <w:pPr>
        <w:pStyle w:val="3"/>
        <w:widowControl w:val="0"/>
        <w:spacing w:after="60" w:line="360" w:lineRule="auto"/>
        <w:ind w:right="-20"/>
        <w:rPr>
          <w:b/>
          <w:i/>
          <w:smallCaps/>
        </w:rPr>
      </w:pPr>
      <w:r>
        <w:rPr>
          <w:i/>
        </w:rPr>
        <w:t>[Lieu, date]</w:t>
      </w:r>
    </w:p>
    <w:p>
      <w:pPr>
        <w:pStyle w:val="3"/>
        <w:widowControl w:val="0"/>
        <w:spacing w:after="60" w:line="360" w:lineRule="auto"/>
        <w:ind w:left="107" w:right="-20"/>
        <w:rPr>
          <w:b/>
          <w:i/>
          <w:smallCaps/>
        </w:rPr>
      </w:pPr>
      <w:r>
        <w:t xml:space="preserve">À : </w:t>
      </w:r>
      <w:r>
        <w:rPr>
          <w:i/>
        </w:rPr>
        <w:t xml:space="preserve">[Nom et adresse du maître d’ouvrage </w:t>
      </w:r>
    </w:p>
    <w:p>
      <w:pPr>
        <w:pStyle w:val="3"/>
        <w:widowControl w:val="0"/>
        <w:spacing w:after="60" w:line="360" w:lineRule="auto"/>
        <w:ind w:left="107" w:right="-20"/>
        <w:rPr>
          <w:b/>
          <w:i/>
          <w:smallCaps/>
        </w:rPr>
      </w:pPr>
      <w:r>
        <w:t>Madame/Monsieur,</w:t>
      </w:r>
    </w:p>
    <w:p>
      <w:pPr>
        <w:pStyle w:val="3"/>
        <w:widowControl w:val="0"/>
        <w:spacing w:after="60" w:line="360" w:lineRule="auto"/>
        <w:ind w:left="107" w:right="81"/>
        <w:jc w:val="both"/>
        <w:rPr>
          <w:b/>
          <w:i/>
          <w:smallCaps/>
        </w:rPr>
      </w:pPr>
      <w:r>
        <w:t>Nous, soussignés, [titre à préciser], avons l’honneur, conformément à votre DAO N° …..du…..relatif à…….., de vous soumettre ci-joint, notre proposition technique pour la fourniture objet dudit DAO.</w:t>
      </w:r>
    </w:p>
    <w:p>
      <w:pPr>
        <w:pStyle w:val="3"/>
        <w:widowControl w:val="0"/>
        <w:spacing w:after="60" w:line="360" w:lineRule="auto"/>
        <w:ind w:left="107" w:right="81"/>
        <w:jc w:val="both"/>
        <w:rPr>
          <w:b/>
          <w:i/>
          <w:smallCaps/>
        </w:rPr>
      </w:pPr>
      <w:r>
        <w:t>Au cas où cette proposition retiendrait votre attention, nous sommes entièrement disposés, sur la base du personnel proposé à entamer des négociations pour la meilleure conduite du projet.</w:t>
      </w:r>
    </w:p>
    <w:p>
      <w:pPr>
        <w:pStyle w:val="3"/>
        <w:widowControl w:val="0"/>
        <w:spacing w:after="60" w:line="360" w:lineRule="auto"/>
        <w:ind w:left="107" w:right="81"/>
        <w:jc w:val="both"/>
        <w:rPr>
          <w:b/>
          <w:i/>
          <w:smallCaps/>
        </w:rPr>
      </w:pPr>
      <w:r>
        <w:t>Aussi, prenons-nous un ferme engagement pour le respect scrupuleux du contenu de ladite proposition technique, sous réserve des modifications éventuelles qui résulteraient des négociations du contrat.</w:t>
      </w:r>
    </w:p>
    <w:p>
      <w:pPr>
        <w:pStyle w:val="3"/>
        <w:widowControl w:val="0"/>
        <w:spacing w:after="60" w:line="360" w:lineRule="auto"/>
        <w:ind w:left="107" w:right="81"/>
        <w:jc w:val="both"/>
        <w:rPr>
          <w:b/>
          <w:i/>
          <w:smallCaps/>
        </w:rPr>
      </w:pPr>
      <w:r>
        <w:t>Veuillez agréer, Madame/Monsieur…………….., l’expression de notre parfaite considération./-</w:t>
      </w:r>
    </w:p>
    <w:p>
      <w:pPr>
        <w:pStyle w:val="3"/>
        <w:widowControl w:val="0"/>
        <w:spacing w:after="60" w:line="360" w:lineRule="auto"/>
        <w:rPr>
          <w:b/>
          <w:i/>
          <w:smallCaps/>
        </w:rPr>
      </w:pPr>
    </w:p>
    <w:p>
      <w:pPr>
        <w:pStyle w:val="3"/>
        <w:widowControl w:val="0"/>
        <w:spacing w:after="60" w:line="360" w:lineRule="auto"/>
        <w:ind w:left="4049" w:right="2834" w:hanging="456"/>
        <w:rPr>
          <w:b/>
          <w:i/>
          <w:smallCaps/>
        </w:rPr>
      </w:pPr>
      <w:r>
        <w:t>Signature du représentant habilité : Nom et titre du signataire :</w:t>
      </w:r>
    </w:p>
    <w:p>
      <w:pPr>
        <w:pStyle w:val="3"/>
        <w:widowControl w:val="0"/>
        <w:spacing w:line="360" w:lineRule="auto"/>
        <w:jc w:val="both"/>
        <w:rPr>
          <w:b/>
          <w:i/>
          <w:smallCaps/>
        </w:rPr>
      </w:pPr>
      <w:r>
        <w:t>Nom du Candidat : Adresse</w:t>
      </w:r>
    </w:p>
    <w:p>
      <w:pPr>
        <w:pStyle w:val="3"/>
        <w:widowControl w:val="0"/>
        <w:spacing w:line="360" w:lineRule="auto"/>
        <w:jc w:val="both"/>
        <w:rPr>
          <w:b/>
          <w:i/>
          <w:smallCaps/>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p>
    <w:p>
      <w:pPr>
        <w:pStyle w:val="3"/>
        <w:widowControl w:val="0"/>
        <w:spacing w:line="360" w:lineRule="auto"/>
        <w:jc w:val="center"/>
        <w:rPr>
          <w:b/>
          <w:smallCaps/>
          <w:color w:val="000000"/>
          <w:sz w:val="32"/>
          <w:szCs w:val="32"/>
        </w:rPr>
      </w:pPr>
      <w:r>
        <w:rPr>
          <w:b/>
          <w:smallCaps/>
          <w:color w:val="000000"/>
          <w:sz w:val="32"/>
          <w:szCs w:val="32"/>
        </w:rPr>
        <w:t>ANNEXE N° 8 : MODELE DE CADRE DU PLANNING</w:t>
      </w:r>
    </w:p>
    <w:p>
      <w:pPr>
        <w:pStyle w:val="3"/>
        <w:widowControl w:val="0"/>
        <w:spacing w:before="120" w:after="120" w:line="360" w:lineRule="auto"/>
        <w:ind w:right="-6"/>
        <w:rPr>
          <w:b/>
          <w:smallCaps/>
          <w:color w:val="000000"/>
          <w:sz w:val="32"/>
          <w:szCs w:val="32"/>
        </w:rPr>
      </w:pPr>
      <w:bookmarkStart w:id="201" w:name="_2m6kmyk" w:colFirst="0" w:colLast="0"/>
      <w:bookmarkEnd w:id="201"/>
      <w:r>
        <w:rPr>
          <w:b/>
          <w:smallCaps/>
          <w:color w:val="000000"/>
          <w:sz w:val="32"/>
          <w:szCs w:val="32"/>
        </w:rPr>
        <w:t>CALENDRIER DES ACTIVITÉS (PROGRAMME DE TRAVAIL)</w:t>
      </w:r>
    </w:p>
    <w:p>
      <w:pPr>
        <w:pStyle w:val="3"/>
        <w:widowControl w:val="0"/>
        <w:spacing w:before="60" w:after="60" w:line="360" w:lineRule="auto"/>
        <w:ind w:left="127" w:right="-20"/>
        <w:rPr>
          <w:b/>
          <w:i/>
          <w:smallCaps/>
        </w:rPr>
      </w:pPr>
      <w:r>
        <w:rPr>
          <w:b/>
        </w:rPr>
        <w:t>A. Préciser la nature de l’activité</w:t>
      </w:r>
    </w:p>
    <w:p>
      <w:pPr>
        <w:pStyle w:val="3"/>
        <w:widowControl w:val="0"/>
        <w:spacing w:before="60" w:after="60" w:line="360" w:lineRule="auto"/>
        <w:ind w:left="142"/>
        <w:rPr>
          <w:sz w:val="8"/>
          <w:szCs w:val="8"/>
        </w:rPr>
      </w:pPr>
    </w:p>
    <w:tbl>
      <w:tblPr>
        <w:tblStyle w:val="41"/>
        <w:tblW w:w="10239" w:type="dxa"/>
        <w:jc w:val="center"/>
        <w:tblInd w:w="0" w:type="dxa"/>
        <w:tblLayout w:type="fixed"/>
        <w:tblCellMar>
          <w:top w:w="0" w:type="dxa"/>
          <w:left w:w="0" w:type="dxa"/>
          <w:bottom w:w="0" w:type="dxa"/>
          <w:right w:w="0" w:type="dxa"/>
        </w:tblCellMar>
      </w:tblPr>
      <w:tblGrid>
        <w:gridCol w:w="4369"/>
        <w:gridCol w:w="407"/>
        <w:gridCol w:w="406"/>
        <w:gridCol w:w="407"/>
        <w:gridCol w:w="407"/>
        <w:gridCol w:w="406"/>
        <w:gridCol w:w="407"/>
        <w:gridCol w:w="407"/>
        <w:gridCol w:w="406"/>
        <w:gridCol w:w="407"/>
        <w:gridCol w:w="407"/>
        <w:gridCol w:w="406"/>
        <w:gridCol w:w="407"/>
        <w:gridCol w:w="990"/>
      </w:tblGrid>
      <w:tr>
        <w:tblPrEx>
          <w:tblLayout w:type="fixed"/>
        </w:tblPrEx>
        <w:trPr>
          <w:cantSplit/>
          <w:trHeight w:val="495"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5870" w:type="dxa"/>
            <w:gridSpan w:val="13"/>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985" w:right="-20"/>
              <w:rPr>
                <w:b/>
                <w:i/>
                <w:smallCaps/>
              </w:rPr>
            </w:pPr>
            <w:r>
              <w:rPr>
                <w:i/>
              </w:rPr>
              <w:t>[Mois ou semaines à compter du début de la mission]</w:t>
            </w:r>
          </w:p>
        </w:tc>
      </w:tr>
      <w:tr>
        <w:tblPrEx>
          <w:tblLayout w:type="fixed"/>
        </w:tblPrEx>
        <w:trPr>
          <w:cantSplit/>
          <w:trHeight w:val="520"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112" w:right="-20"/>
              <w:rPr>
                <w:b/>
                <w:i/>
                <w:smallCaps/>
              </w:rPr>
            </w:pPr>
            <w:r>
              <w:rPr>
                <w:sz w:val="40"/>
                <w:szCs w:val="40"/>
                <w:vertAlign w:val="subscript"/>
              </w:rPr>
              <w:t>1</w:t>
            </w:r>
            <w:r>
              <w:t>er</w:t>
            </w: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145" w:right="-20"/>
              <w:rPr>
                <w:b/>
                <w:i/>
                <w:smallCaps/>
              </w:rPr>
            </w:pPr>
            <w:r>
              <w:rPr>
                <w:sz w:val="40"/>
                <w:szCs w:val="40"/>
                <w:vertAlign w:val="subscript"/>
              </w:rPr>
              <w:t>2</w:t>
            </w:r>
            <w: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79" w:right="-20"/>
              <w:rPr>
                <w:b/>
                <w:i/>
                <w:smallCaps/>
              </w:rPr>
            </w:pPr>
            <w:r>
              <w:rPr>
                <w:sz w:val="40"/>
                <w:szCs w:val="40"/>
                <w:vertAlign w:val="subscript"/>
              </w:rPr>
              <w:t>3</w:t>
            </w:r>
            <w: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82" w:right="-20"/>
              <w:rPr>
                <w:b/>
                <w:i/>
                <w:smallCaps/>
              </w:rPr>
            </w:pPr>
            <w:r>
              <w:rPr>
                <w:sz w:val="40"/>
                <w:szCs w:val="40"/>
                <w:vertAlign w:val="subscript"/>
              </w:rPr>
              <w:t>4</w:t>
            </w:r>
            <w:r>
              <w:t>e</w:t>
            </w: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65" w:right="-20"/>
              <w:rPr>
                <w:b/>
                <w:i/>
                <w:smallCaps/>
              </w:rPr>
            </w:pPr>
            <w:r>
              <w:rPr>
                <w:sz w:val="40"/>
                <w:szCs w:val="40"/>
                <w:vertAlign w:val="subscript"/>
              </w:rPr>
              <w:t>5</w:t>
            </w:r>
            <w: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109" w:right="-20"/>
              <w:rPr>
                <w:b/>
                <w:i/>
                <w:smallCaps/>
              </w:rPr>
            </w:pPr>
            <w:r>
              <w:rPr>
                <w:sz w:val="40"/>
                <w:szCs w:val="40"/>
                <w:vertAlign w:val="subscript"/>
              </w:rPr>
              <w:t>6</w:t>
            </w:r>
            <w: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82" w:right="-20"/>
              <w:rPr>
                <w:b/>
                <w:i/>
                <w:smallCaps/>
              </w:rPr>
            </w:pPr>
            <w:r>
              <w:rPr>
                <w:sz w:val="40"/>
                <w:szCs w:val="40"/>
                <w:vertAlign w:val="subscript"/>
              </w:rPr>
              <w:t>7</w:t>
            </w:r>
            <w:r>
              <w:t>e</w:t>
            </w: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95" w:right="-20"/>
              <w:rPr>
                <w:b/>
                <w:i/>
                <w:smallCaps/>
              </w:rPr>
            </w:pPr>
            <w:r>
              <w:rPr>
                <w:sz w:val="40"/>
                <w:szCs w:val="40"/>
                <w:vertAlign w:val="subscript"/>
              </w:rPr>
              <w:t>8</w:t>
            </w:r>
            <w: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99" w:right="-20"/>
              <w:rPr>
                <w:b/>
                <w:i/>
                <w:smallCaps/>
              </w:rPr>
            </w:pPr>
            <w:r>
              <w:rPr>
                <w:sz w:val="40"/>
                <w:szCs w:val="40"/>
                <w:vertAlign w:val="subscript"/>
              </w:rPr>
              <w:t>9</w:t>
            </w:r>
            <w: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35" w:right="-20"/>
              <w:rPr>
                <w:b/>
                <w:i/>
                <w:smallCaps/>
              </w:rPr>
            </w:pPr>
            <w:r>
              <w:t>10</w:t>
            </w:r>
            <w:r>
              <w:rPr>
                <w:sz w:val="40"/>
                <w:szCs w:val="40"/>
                <w:vertAlign w:val="superscript"/>
              </w:rPr>
              <w:t>e</w:t>
            </w: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59" w:right="-25"/>
              <w:rPr>
                <w:b/>
                <w:i/>
                <w:smallCaps/>
              </w:rPr>
            </w:pPr>
            <w:r>
              <w:t>11</w:t>
            </w:r>
            <w:r>
              <w:rPr>
                <w:sz w:val="40"/>
                <w:szCs w:val="40"/>
                <w:vertAlign w:val="superscript"/>
              </w:rPr>
              <w:t>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29" w:right="-20"/>
              <w:rPr>
                <w:b/>
                <w:i/>
                <w:smallCaps/>
              </w:rPr>
            </w:pPr>
            <w:r>
              <w:t>12</w:t>
            </w:r>
            <w:r>
              <w:rPr>
                <w:sz w:val="40"/>
                <w:szCs w:val="40"/>
                <w:vertAlign w:val="superscript"/>
              </w:rPr>
              <w:t>e</w:t>
            </w:r>
          </w:p>
        </w:tc>
        <w:tc>
          <w:tcPr>
            <w:tcW w:w="990"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540"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p>
            <w:pPr>
              <w:pStyle w:val="3"/>
              <w:widowControl w:val="0"/>
              <w:spacing w:before="60" w:after="60" w:line="360" w:lineRule="auto"/>
              <w:ind w:left="20" w:right="-20"/>
              <w:rPr>
                <w:b/>
                <w:i/>
                <w:smallCaps/>
              </w:rPr>
            </w:pPr>
            <w:r>
              <w:t xml:space="preserve">Activité </w:t>
            </w:r>
            <w:r>
              <w:rPr>
                <w:i/>
              </w:rPr>
              <w:t>(tâche)</w:t>
            </w: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990"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950"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990"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950"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990"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950"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990"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955" w:hRule="atLeast"/>
          <w:tblHeader/>
          <w:jc w:val="center"/>
        </w:trPr>
        <w:tc>
          <w:tcPr>
            <w:tcW w:w="4369"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6"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40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990"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bl>
    <w:p>
      <w:pPr>
        <w:pStyle w:val="3"/>
        <w:widowControl w:val="0"/>
        <w:spacing w:before="60" w:after="60" w:line="360" w:lineRule="auto"/>
        <w:rPr>
          <w:b/>
          <w:i/>
          <w:smallCaps/>
        </w:rPr>
      </w:pPr>
      <w:r>
        <w:t>*</w:t>
      </w: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ind w:left="127" w:right="-20"/>
        <w:rPr>
          <w:b/>
          <w:i/>
          <w:smallCaps/>
        </w:rPr>
      </w:pPr>
      <w:r>
        <w:rPr>
          <w:b/>
        </w:rPr>
        <w:t>B. Achèvement et soumission des rapports</w:t>
      </w:r>
    </w:p>
    <w:p>
      <w:pPr>
        <w:pStyle w:val="3"/>
        <w:widowControl w:val="0"/>
        <w:spacing w:before="60" w:after="60" w:line="360" w:lineRule="auto"/>
        <w:rPr>
          <w:sz w:val="4"/>
          <w:szCs w:val="4"/>
        </w:rPr>
      </w:pPr>
    </w:p>
    <w:tbl>
      <w:tblPr>
        <w:tblStyle w:val="42"/>
        <w:tblW w:w="10099" w:type="dxa"/>
        <w:tblInd w:w="112" w:type="dxa"/>
        <w:tblLayout w:type="fixed"/>
        <w:tblCellMar>
          <w:top w:w="0" w:type="dxa"/>
          <w:left w:w="0" w:type="dxa"/>
          <w:bottom w:w="0" w:type="dxa"/>
          <w:right w:w="0" w:type="dxa"/>
        </w:tblCellMar>
      </w:tblPr>
      <w:tblGrid>
        <w:gridCol w:w="4502"/>
        <w:gridCol w:w="5597"/>
      </w:tblGrid>
      <w:tr>
        <w:tblPrEx>
          <w:tblLayout w:type="fixed"/>
        </w:tblPrEx>
        <w:trPr>
          <w:cantSplit/>
          <w:trHeight w:val="494" w:hRule="atLeast"/>
          <w:tblHeader/>
        </w:trPr>
        <w:tc>
          <w:tcPr>
            <w:tcW w:w="45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587" w:right="-20"/>
              <w:rPr>
                <w:b/>
                <w:i/>
                <w:smallCaps/>
              </w:rPr>
            </w:pPr>
            <w:r>
              <w:t>Rapports</w:t>
            </w:r>
          </w:p>
        </w:tc>
        <w:tc>
          <w:tcPr>
            <w:tcW w:w="559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257" w:right="-20"/>
              <w:rPr>
                <w:b/>
                <w:i/>
                <w:smallCaps/>
              </w:rPr>
            </w:pPr>
            <w:r>
              <w:t>Date</w:t>
            </w:r>
          </w:p>
        </w:tc>
      </w:tr>
      <w:tr>
        <w:tblPrEx>
          <w:tblLayout w:type="fixed"/>
        </w:tblPrEx>
        <w:trPr>
          <w:cantSplit/>
          <w:trHeight w:val="558" w:hRule="atLeast"/>
          <w:tblHeader/>
        </w:trPr>
        <w:tc>
          <w:tcPr>
            <w:tcW w:w="45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587" w:right="-20"/>
              <w:rPr>
                <w:b/>
                <w:i/>
                <w:smallCaps/>
              </w:rPr>
            </w:pPr>
            <w:r>
              <w:t>1. Rapport initial</w:t>
            </w:r>
          </w:p>
        </w:tc>
        <w:tc>
          <w:tcPr>
            <w:tcW w:w="559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1740" w:hRule="atLeast"/>
          <w:tblHeader/>
        </w:trPr>
        <w:tc>
          <w:tcPr>
            <w:tcW w:w="45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947" w:right="1032" w:hanging="399"/>
              <w:jc w:val="center"/>
              <w:rPr>
                <w:b/>
                <w:i/>
                <w:smallCaps/>
              </w:rPr>
            </w:pPr>
            <w:r>
              <w:t>2. Rapports d’avancement a. Premier rapport d’avancement</w:t>
            </w:r>
          </w:p>
          <w:p>
            <w:pPr>
              <w:pStyle w:val="3"/>
              <w:widowControl w:val="0"/>
              <w:spacing w:before="60" w:after="60" w:line="360" w:lineRule="auto"/>
              <w:ind w:left="1513" w:right="1005" w:hanging="293"/>
              <w:rPr>
                <w:b/>
                <w:i/>
                <w:smallCaps/>
              </w:rPr>
            </w:pPr>
            <w:r>
              <w:t>b. Deuxième rapport d’avancement</w:t>
            </w:r>
          </w:p>
        </w:tc>
        <w:tc>
          <w:tcPr>
            <w:tcW w:w="559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534" w:hRule="atLeast"/>
          <w:tblHeader/>
        </w:trPr>
        <w:tc>
          <w:tcPr>
            <w:tcW w:w="45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587" w:right="-20"/>
              <w:rPr>
                <w:b/>
                <w:i/>
                <w:smallCaps/>
              </w:rPr>
            </w:pPr>
            <w:r>
              <w:t>3. Projet de rapport final</w:t>
            </w:r>
          </w:p>
        </w:tc>
        <w:tc>
          <w:tcPr>
            <w:tcW w:w="559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556" w:hRule="atLeast"/>
          <w:tblHeader/>
        </w:trPr>
        <w:tc>
          <w:tcPr>
            <w:tcW w:w="45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ind w:left="587" w:right="-20"/>
              <w:rPr>
                <w:b/>
                <w:i/>
                <w:smallCaps/>
              </w:rPr>
            </w:pPr>
            <w:r>
              <w:t>4. Rapport final</w:t>
            </w:r>
          </w:p>
        </w:tc>
        <w:tc>
          <w:tcPr>
            <w:tcW w:w="559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bl>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60" w:after="60" w:line="360" w:lineRule="auto"/>
        <w:rPr>
          <w:b/>
          <w:i/>
          <w:smallCaps/>
        </w:rPr>
      </w:pPr>
    </w:p>
    <w:p>
      <w:pPr>
        <w:pStyle w:val="3"/>
        <w:widowControl w:val="0"/>
        <w:spacing w:before="120" w:after="120" w:line="360" w:lineRule="auto"/>
        <w:ind w:right="-6"/>
        <w:jc w:val="center"/>
        <w:rPr>
          <w:b/>
          <w:i/>
          <w:smallCaps/>
        </w:rPr>
      </w:pPr>
      <w:r>
        <w:rPr>
          <w:b/>
          <w:smallCaps/>
          <w:color w:val="000000"/>
          <w:sz w:val="32"/>
          <w:szCs w:val="32"/>
        </w:rPr>
        <w:t>CALENDRIER DU PERSONNEL SPÉCIALISÉ</w:t>
      </w:r>
    </w:p>
    <w:tbl>
      <w:tblPr>
        <w:tblStyle w:val="43"/>
        <w:tblW w:w="11291"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72" w:type="dxa"/>
          <w:bottom w:w="0" w:type="dxa"/>
          <w:right w:w="72" w:type="dxa"/>
        </w:tblCellMar>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trPr>
          <w:cantSplit/>
          <w:trHeight w:val="391" w:hRule="atLeast"/>
          <w:tblHeader/>
          <w:jc w:val="center"/>
        </w:trPr>
        <w:tc>
          <w:tcPr>
            <w:tcW w:w="377" w:type="dxa"/>
            <w:vMerge w:val="restart"/>
            <w:tcBorders>
              <w:top w:val="single" w:color="000000" w:sz="4" w:space="0"/>
              <w:left w:val="single" w:color="000000" w:sz="4" w:space="0"/>
              <w:right w:val="single" w:color="000000" w:sz="6" w:space="0"/>
            </w:tcBorders>
            <w:vAlign w:val="center"/>
          </w:tcPr>
          <w:p>
            <w:pPr>
              <w:pStyle w:val="3"/>
              <w:spacing w:before="60" w:after="60" w:line="360" w:lineRule="auto"/>
              <w:jc w:val="center"/>
              <w:rPr>
                <w:sz w:val="20"/>
                <w:szCs w:val="20"/>
              </w:rPr>
            </w:pPr>
            <w:bookmarkStart w:id="202" w:name="_3lbifu6" w:colFirst="0" w:colLast="0"/>
            <w:bookmarkEnd w:id="202"/>
            <w:r>
              <w:rPr>
                <w:b/>
              </w:rPr>
              <w:t>N°</w:t>
            </w:r>
          </w:p>
        </w:tc>
        <w:tc>
          <w:tcPr>
            <w:tcW w:w="1425" w:type="dxa"/>
            <w:tcBorders>
              <w:top w:val="single" w:color="000000" w:sz="4" w:space="0"/>
              <w:left w:val="single" w:color="000000" w:sz="6" w:space="0"/>
              <w:right w:val="single" w:color="000000" w:sz="6" w:space="0"/>
            </w:tcBorders>
            <w:vAlign w:val="center"/>
          </w:tcPr>
          <w:p>
            <w:pPr>
              <w:pStyle w:val="3"/>
              <w:spacing w:before="60" w:after="60" w:line="360" w:lineRule="auto"/>
              <w:jc w:val="center"/>
              <w:rPr>
                <w:b/>
                <w:sz w:val="20"/>
                <w:szCs w:val="20"/>
              </w:rPr>
            </w:pPr>
          </w:p>
          <w:p>
            <w:pPr>
              <w:pStyle w:val="3"/>
              <w:spacing w:before="60" w:after="60" w:line="360" w:lineRule="auto"/>
              <w:jc w:val="center"/>
              <w:rPr>
                <w:b/>
                <w:sz w:val="20"/>
                <w:szCs w:val="20"/>
              </w:rPr>
            </w:pPr>
          </w:p>
          <w:p>
            <w:pPr>
              <w:pStyle w:val="3"/>
              <w:spacing w:before="60" w:after="60" w:line="360" w:lineRule="auto"/>
              <w:jc w:val="center"/>
              <w:rPr>
                <w:b/>
                <w:sz w:val="20"/>
                <w:szCs w:val="20"/>
              </w:rPr>
            </w:pPr>
            <w:r>
              <w:rPr>
                <w:b/>
              </w:rPr>
              <w:t>Nom</w:t>
            </w:r>
          </w:p>
        </w:tc>
        <w:tc>
          <w:tcPr>
            <w:tcW w:w="1018" w:type="dxa"/>
            <w:vMerge w:val="restart"/>
            <w:tcBorders>
              <w:top w:val="single" w:color="000000" w:sz="4" w:space="0"/>
              <w:left w:val="single" w:color="000000" w:sz="6" w:space="0"/>
              <w:bottom w:val="single" w:color="000000" w:sz="6" w:space="0"/>
              <w:right w:val="single" w:color="000000" w:sz="6" w:space="0"/>
            </w:tcBorders>
            <w:vAlign w:val="center"/>
          </w:tcPr>
          <w:p>
            <w:pPr>
              <w:pStyle w:val="3"/>
              <w:spacing w:before="60" w:after="60" w:line="360" w:lineRule="auto"/>
              <w:jc w:val="center"/>
              <w:rPr>
                <w:sz w:val="20"/>
                <w:szCs w:val="20"/>
              </w:rPr>
            </w:pPr>
          </w:p>
          <w:p>
            <w:pPr>
              <w:pStyle w:val="3"/>
              <w:spacing w:before="60" w:after="60" w:line="360" w:lineRule="auto"/>
              <w:jc w:val="center"/>
              <w:rPr>
                <w:b/>
                <w:sz w:val="20"/>
                <w:szCs w:val="20"/>
              </w:rPr>
            </w:pPr>
            <w:r>
              <w:rPr>
                <w:b/>
              </w:rPr>
              <w:t>Rapports à fournir</w:t>
            </w:r>
          </w:p>
        </w:tc>
        <w:tc>
          <w:tcPr>
            <w:tcW w:w="6602" w:type="dxa"/>
            <w:gridSpan w:val="14"/>
            <w:tcBorders>
              <w:top w:val="single" w:color="000000" w:sz="4" w:space="0"/>
              <w:bottom w:val="single" w:color="000000" w:sz="6" w:space="0"/>
              <w:right w:val="single" w:color="000000" w:sz="6" w:space="0"/>
            </w:tcBorders>
            <w:vAlign w:val="center"/>
          </w:tcPr>
          <w:p>
            <w:pPr>
              <w:pStyle w:val="3"/>
              <w:spacing w:before="60" w:after="60" w:line="360" w:lineRule="auto"/>
              <w:jc w:val="center"/>
              <w:rPr>
                <w:b/>
                <w:sz w:val="20"/>
                <w:szCs w:val="20"/>
              </w:rPr>
            </w:pPr>
            <w:bookmarkStart w:id="203" w:name="_20gsq1z" w:colFirst="0" w:colLast="0"/>
            <w:bookmarkEnd w:id="203"/>
            <w:r>
              <w:rPr>
                <w:b/>
              </w:rPr>
              <w:t>Personnel (sous forme de graphique à barres)</w:t>
            </w:r>
            <w:r>
              <w:rPr>
                <w:b/>
                <w:vertAlign w:val="superscript"/>
              </w:rPr>
              <w:t>12</w:t>
            </w:r>
          </w:p>
        </w:tc>
        <w:tc>
          <w:tcPr>
            <w:tcW w:w="1869" w:type="dxa"/>
            <w:gridSpan w:val="4"/>
            <w:tcBorders>
              <w:top w:val="single" w:color="000000" w:sz="4" w:space="0"/>
              <w:bottom w:val="single" w:color="000000" w:sz="6" w:space="0"/>
              <w:right w:val="single" w:color="000000" w:sz="4" w:space="0"/>
            </w:tcBorders>
            <w:vAlign w:val="center"/>
          </w:tcPr>
          <w:p>
            <w:pPr>
              <w:pStyle w:val="3"/>
              <w:spacing w:before="60" w:after="60" w:line="360" w:lineRule="auto"/>
              <w:jc w:val="center"/>
              <w:rPr>
                <w:sz w:val="20"/>
                <w:szCs w:val="20"/>
              </w:rPr>
            </w:pPr>
            <w:bookmarkStart w:id="204" w:name="_4kgg8ps" w:colFirst="0" w:colLast="0"/>
            <w:bookmarkEnd w:id="204"/>
            <w:r>
              <w:rPr>
                <w:b/>
              </w:rPr>
              <w:t>Total personnel/mois</w:t>
            </w:r>
          </w:p>
        </w:tc>
      </w:tr>
      <w:tr>
        <w:trPr>
          <w:gridAfter w:val="1"/>
          <w:wAfter w:w="30" w:type="dxa"/>
          <w:cantSplit/>
          <w:trHeight w:val="391" w:hRule="atLeast"/>
          <w:tblHeader/>
          <w:jc w:val="center"/>
        </w:trPr>
        <w:tc>
          <w:tcPr>
            <w:tcW w:w="377" w:type="dxa"/>
            <w:vMerge w:val="continue"/>
            <w:tcBorders>
              <w:top w:val="single" w:color="000000" w:sz="4" w:space="0"/>
              <w:left w:val="single" w:color="000000" w:sz="4" w:space="0"/>
              <w:right w:val="single" w:color="000000" w:sz="6" w:space="0"/>
            </w:tcBorders>
            <w:vAlign w:val="center"/>
          </w:tcPr>
          <w:p>
            <w:pPr>
              <w:pStyle w:val="3"/>
              <w:widowControl w:val="0"/>
              <w:spacing w:line="276" w:lineRule="auto"/>
              <w:rPr>
                <w:sz w:val="20"/>
                <w:szCs w:val="20"/>
              </w:rPr>
            </w:pPr>
          </w:p>
        </w:tc>
        <w:tc>
          <w:tcPr>
            <w:tcW w:w="1425" w:type="dxa"/>
            <w:tcBorders>
              <w:left w:val="single" w:color="000000" w:sz="6" w:space="0"/>
              <w:bottom w:val="single" w:color="000000" w:sz="12" w:space="0"/>
              <w:right w:val="single" w:color="000000" w:sz="6" w:space="0"/>
            </w:tcBorders>
          </w:tcPr>
          <w:p>
            <w:pPr>
              <w:pStyle w:val="3"/>
              <w:spacing w:before="60" w:after="60" w:line="360" w:lineRule="auto"/>
              <w:jc w:val="center"/>
              <w:rPr>
                <w:b/>
                <w:sz w:val="20"/>
                <w:szCs w:val="20"/>
              </w:rPr>
            </w:pPr>
          </w:p>
        </w:tc>
        <w:tc>
          <w:tcPr>
            <w:tcW w:w="1018" w:type="dxa"/>
            <w:vMerge w:val="continue"/>
            <w:tcBorders>
              <w:top w:val="single" w:color="000000" w:sz="4" w:space="0"/>
              <w:left w:val="single" w:color="000000" w:sz="6" w:space="0"/>
              <w:bottom w:val="single" w:color="000000" w:sz="6" w:space="0"/>
              <w:right w:val="single" w:color="000000" w:sz="6" w:space="0"/>
            </w:tcBorders>
            <w:vAlign w:val="center"/>
          </w:tcPr>
          <w:p>
            <w:pPr>
              <w:pStyle w:val="3"/>
              <w:widowControl w:val="0"/>
              <w:spacing w:line="276" w:lineRule="auto"/>
              <w:rPr>
                <w:b/>
                <w:sz w:val="20"/>
                <w:szCs w:val="20"/>
              </w:rPr>
            </w:pPr>
          </w:p>
        </w:tc>
        <w:tc>
          <w:tcPr>
            <w:tcW w:w="882" w:type="dxa"/>
            <w:tcBorders>
              <w:top w:val="single" w:color="000000" w:sz="6" w:space="0"/>
              <w:bottom w:val="single" w:color="000000" w:sz="12" w:space="0"/>
            </w:tcBorders>
            <w:vAlign w:val="center"/>
          </w:tcPr>
          <w:p>
            <w:pPr>
              <w:pStyle w:val="3"/>
              <w:spacing w:before="60" w:after="60" w:line="360" w:lineRule="auto"/>
              <w:jc w:val="center"/>
              <w:rPr>
                <w:b/>
                <w:sz w:val="20"/>
                <w:szCs w:val="20"/>
              </w:rPr>
            </w:pPr>
            <w:r>
              <w:rPr>
                <w:b/>
              </w:rPr>
              <w:t>1</w:t>
            </w:r>
          </w:p>
        </w:tc>
        <w:tc>
          <w:tcPr>
            <w:tcW w:w="475"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2</w:t>
            </w:r>
          </w:p>
        </w:tc>
        <w:tc>
          <w:tcPr>
            <w:tcW w:w="475" w:type="dxa"/>
            <w:tcBorders>
              <w:top w:val="single" w:color="000000" w:sz="6" w:space="0"/>
              <w:bottom w:val="single" w:color="000000" w:sz="12" w:space="0"/>
            </w:tcBorders>
            <w:vAlign w:val="center"/>
          </w:tcPr>
          <w:p>
            <w:pPr>
              <w:pStyle w:val="3"/>
              <w:spacing w:before="60" w:after="60" w:line="360" w:lineRule="auto"/>
              <w:jc w:val="center"/>
              <w:rPr>
                <w:b/>
                <w:sz w:val="20"/>
                <w:szCs w:val="20"/>
              </w:rPr>
            </w:pPr>
            <w:r>
              <w:rPr>
                <w:b/>
              </w:rPr>
              <w:t>3</w:t>
            </w:r>
          </w:p>
        </w:tc>
        <w:tc>
          <w:tcPr>
            <w:tcW w:w="475"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4</w:t>
            </w:r>
          </w:p>
        </w:tc>
        <w:tc>
          <w:tcPr>
            <w:tcW w:w="475" w:type="dxa"/>
            <w:tcBorders>
              <w:top w:val="single" w:color="000000" w:sz="6" w:space="0"/>
              <w:bottom w:val="single" w:color="000000" w:sz="12" w:space="0"/>
            </w:tcBorders>
            <w:vAlign w:val="center"/>
          </w:tcPr>
          <w:p>
            <w:pPr>
              <w:pStyle w:val="3"/>
              <w:spacing w:before="60" w:after="60" w:line="360" w:lineRule="auto"/>
              <w:jc w:val="center"/>
              <w:rPr>
                <w:b/>
                <w:sz w:val="20"/>
                <w:szCs w:val="20"/>
              </w:rPr>
            </w:pPr>
            <w:r>
              <w:rPr>
                <w:b/>
              </w:rPr>
              <w:t>5</w:t>
            </w:r>
          </w:p>
        </w:tc>
        <w:tc>
          <w:tcPr>
            <w:tcW w:w="475"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6</w:t>
            </w:r>
          </w:p>
        </w:tc>
        <w:tc>
          <w:tcPr>
            <w:tcW w:w="475" w:type="dxa"/>
            <w:tcBorders>
              <w:top w:val="single" w:color="000000" w:sz="6" w:space="0"/>
              <w:bottom w:val="single" w:color="000000" w:sz="12" w:space="0"/>
            </w:tcBorders>
            <w:vAlign w:val="center"/>
          </w:tcPr>
          <w:p>
            <w:pPr>
              <w:pStyle w:val="3"/>
              <w:spacing w:before="60" w:after="60" w:line="360" w:lineRule="auto"/>
              <w:jc w:val="center"/>
              <w:rPr>
                <w:b/>
                <w:sz w:val="20"/>
                <w:szCs w:val="20"/>
              </w:rPr>
            </w:pPr>
            <w:r>
              <w:rPr>
                <w:b/>
              </w:rPr>
              <w:t>7</w:t>
            </w:r>
          </w:p>
        </w:tc>
        <w:tc>
          <w:tcPr>
            <w:tcW w:w="475"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8</w:t>
            </w:r>
          </w:p>
        </w:tc>
        <w:tc>
          <w:tcPr>
            <w:tcW w:w="475" w:type="dxa"/>
            <w:tcBorders>
              <w:top w:val="single" w:color="000000" w:sz="6" w:space="0"/>
              <w:bottom w:val="single" w:color="000000" w:sz="12" w:space="0"/>
            </w:tcBorders>
            <w:vAlign w:val="center"/>
          </w:tcPr>
          <w:p>
            <w:pPr>
              <w:pStyle w:val="3"/>
              <w:spacing w:before="60" w:after="60" w:line="360" w:lineRule="auto"/>
              <w:jc w:val="center"/>
              <w:rPr>
                <w:b/>
                <w:sz w:val="20"/>
                <w:szCs w:val="20"/>
              </w:rPr>
            </w:pPr>
            <w:r>
              <w:rPr>
                <w:b/>
              </w:rPr>
              <w:t>9</w:t>
            </w:r>
          </w:p>
        </w:tc>
        <w:tc>
          <w:tcPr>
            <w:tcW w:w="475"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10</w:t>
            </w:r>
          </w:p>
        </w:tc>
        <w:tc>
          <w:tcPr>
            <w:tcW w:w="475" w:type="dxa"/>
            <w:tcBorders>
              <w:top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11</w:t>
            </w:r>
          </w:p>
        </w:tc>
        <w:tc>
          <w:tcPr>
            <w:tcW w:w="475" w:type="dxa"/>
            <w:tcBorders>
              <w:top w:val="single" w:color="000000" w:sz="6" w:space="0"/>
              <w:left w:val="single" w:color="000000" w:sz="6" w:space="0"/>
              <w:bottom w:val="single" w:color="000000" w:sz="12" w:space="0"/>
            </w:tcBorders>
            <w:vAlign w:val="center"/>
          </w:tcPr>
          <w:p>
            <w:pPr>
              <w:pStyle w:val="3"/>
              <w:spacing w:before="60" w:after="60" w:line="360" w:lineRule="auto"/>
              <w:jc w:val="center"/>
              <w:rPr>
                <w:b/>
                <w:sz w:val="20"/>
                <w:szCs w:val="20"/>
              </w:rPr>
            </w:pPr>
            <w:r>
              <w:rPr>
                <w:b/>
              </w:rPr>
              <w:t>12</w:t>
            </w:r>
          </w:p>
        </w:tc>
        <w:tc>
          <w:tcPr>
            <w:tcW w:w="480"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n</w:t>
            </w:r>
          </w:p>
        </w:tc>
        <w:tc>
          <w:tcPr>
            <w:tcW w:w="618" w:type="dxa"/>
            <w:gridSpan w:val="2"/>
            <w:tcBorders>
              <w:top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Siège</w:t>
            </w:r>
          </w:p>
        </w:tc>
        <w:tc>
          <w:tcPr>
            <w:tcW w:w="618" w:type="dxa"/>
            <w:tcBorders>
              <w:top w:val="single" w:color="000000" w:sz="6" w:space="0"/>
              <w:left w:val="single" w:color="000000" w:sz="6" w:space="0"/>
              <w:bottom w:val="single" w:color="000000" w:sz="12" w:space="0"/>
              <w:right w:val="single" w:color="000000" w:sz="6" w:space="0"/>
            </w:tcBorders>
            <w:vAlign w:val="center"/>
          </w:tcPr>
          <w:p>
            <w:pPr>
              <w:pStyle w:val="3"/>
              <w:spacing w:before="60" w:after="60" w:line="360" w:lineRule="auto"/>
              <w:jc w:val="center"/>
              <w:rPr>
                <w:b/>
                <w:sz w:val="20"/>
                <w:szCs w:val="20"/>
              </w:rPr>
            </w:pPr>
            <w:r>
              <w:rPr>
                <w:b/>
              </w:rPr>
              <w:t>Terrain</w:t>
            </w:r>
            <w:r>
              <w:rPr>
                <w:b/>
                <w:vertAlign w:val="superscript"/>
              </w:rPr>
              <w:t>23</w:t>
            </w:r>
          </w:p>
        </w:tc>
        <w:tc>
          <w:tcPr>
            <w:tcW w:w="618" w:type="dxa"/>
            <w:tcBorders>
              <w:top w:val="single" w:color="000000" w:sz="6" w:space="0"/>
              <w:left w:val="single" w:color="000000" w:sz="6" w:space="0"/>
              <w:bottom w:val="single" w:color="000000" w:sz="12" w:space="0"/>
              <w:right w:val="single" w:color="000000" w:sz="4" w:space="0"/>
            </w:tcBorders>
            <w:vAlign w:val="center"/>
          </w:tcPr>
          <w:p>
            <w:pPr>
              <w:pStyle w:val="3"/>
              <w:spacing w:before="60" w:after="60" w:line="360" w:lineRule="auto"/>
              <w:jc w:val="center"/>
              <w:rPr>
                <w:b/>
                <w:sz w:val="20"/>
                <w:szCs w:val="20"/>
              </w:rPr>
            </w:pPr>
            <w:r>
              <w:rPr>
                <w:b/>
              </w:rPr>
              <w:t>Total</w:t>
            </w:r>
          </w:p>
        </w:tc>
      </w:tr>
      <w:tr>
        <w:trPr>
          <w:cantSplit/>
          <w:trHeight w:val="326" w:hRule="atLeast"/>
          <w:tblHeader/>
          <w:jc w:val="center"/>
        </w:trPr>
        <w:tc>
          <w:tcPr>
            <w:tcW w:w="11291" w:type="dxa"/>
            <w:gridSpan w:val="21"/>
            <w:tcBorders>
              <w:top w:val="single" w:color="000000" w:sz="8" w:space="0"/>
              <w:left w:val="single" w:color="000000" w:sz="4" w:space="0"/>
              <w:bottom w:val="single" w:color="000000" w:sz="6" w:space="0"/>
              <w:right w:val="single" w:color="000000" w:sz="4" w:space="0"/>
            </w:tcBorders>
          </w:tcPr>
          <w:p>
            <w:pPr>
              <w:pStyle w:val="3"/>
              <w:spacing w:before="60" w:after="60" w:line="360" w:lineRule="auto"/>
              <w:rPr>
                <w:sz w:val="20"/>
                <w:szCs w:val="20"/>
              </w:rPr>
            </w:pPr>
            <w:r>
              <w:rPr>
                <w:b/>
              </w:rPr>
              <w:t>Personnel</w:t>
            </w:r>
          </w:p>
        </w:tc>
      </w:tr>
      <w:tr>
        <w:trPr>
          <w:gridAfter w:val="1"/>
          <w:wAfter w:w="30" w:type="dxa"/>
          <w:cantSplit/>
          <w:trHeight w:val="287" w:hRule="atLeast"/>
          <w:tblHeader/>
          <w:jc w:val="center"/>
        </w:trPr>
        <w:tc>
          <w:tcPr>
            <w:tcW w:w="377" w:type="dxa"/>
            <w:vMerge w:val="restart"/>
            <w:tcBorders>
              <w:top w:val="single" w:color="000000" w:sz="6" w:space="0"/>
              <w:left w:val="single" w:color="000000" w:sz="4" w:space="0"/>
              <w:right w:val="single" w:color="000000" w:sz="6" w:space="0"/>
            </w:tcBorders>
            <w:vAlign w:val="center"/>
          </w:tcPr>
          <w:p>
            <w:pPr>
              <w:pStyle w:val="3"/>
              <w:spacing w:before="60" w:after="60" w:line="360" w:lineRule="auto"/>
              <w:jc w:val="center"/>
              <w:rPr>
                <w:sz w:val="20"/>
                <w:szCs w:val="20"/>
              </w:rPr>
            </w:pPr>
            <w:r>
              <w:t>1</w:t>
            </w:r>
          </w:p>
        </w:tc>
        <w:tc>
          <w:tcPr>
            <w:tcW w:w="1425" w:type="dxa"/>
            <w:tcBorders>
              <w:top w:val="single" w:color="000000" w:sz="6" w:space="0"/>
              <w:left w:val="single" w:color="000000" w:sz="6" w:space="0"/>
              <w:right w:val="single" w:color="000000" w:sz="6" w:space="0"/>
            </w:tcBorders>
          </w:tcPr>
          <w:p>
            <w:pPr>
              <w:pStyle w:val="3"/>
              <w:spacing w:before="60" w:after="60" w:line="360" w:lineRule="auto"/>
              <w:rPr>
                <w:sz w:val="20"/>
                <w:szCs w:val="20"/>
              </w:rPr>
            </w:pPr>
          </w:p>
        </w:tc>
        <w:tc>
          <w:tcPr>
            <w:tcW w:w="1018" w:type="dxa"/>
            <w:vMerge w:val="restart"/>
            <w:tcBorders>
              <w:top w:val="single" w:color="000000" w:sz="6" w:space="0"/>
              <w:left w:val="single" w:color="000000" w:sz="6" w:space="0"/>
              <w:right w:val="single" w:color="000000" w:sz="6" w:space="0"/>
            </w:tcBorders>
          </w:tcPr>
          <w:p>
            <w:pPr>
              <w:pStyle w:val="3"/>
              <w:spacing w:before="60" w:after="60" w:line="360" w:lineRule="auto"/>
              <w:rPr>
                <w:sz w:val="20"/>
                <w:szCs w:val="20"/>
              </w:rPr>
            </w:pPr>
          </w:p>
        </w:tc>
        <w:tc>
          <w:tcPr>
            <w:tcW w:w="882" w:type="dxa"/>
            <w:tcBorders>
              <w:top w:val="single" w:color="000000" w:sz="6" w:space="0"/>
              <w:left w:val="single" w:color="000000" w:sz="6" w:space="0"/>
              <w:bottom w:val="dashed" w:color="000000" w:sz="4" w:space="0"/>
              <w:right w:val="single" w:color="000000" w:sz="6" w:space="0"/>
            </w:tcBorders>
            <w:vAlign w:val="center"/>
          </w:tcPr>
          <w:p>
            <w:pPr>
              <w:pStyle w:val="3"/>
              <w:spacing w:before="60" w:after="60" w:line="360" w:lineRule="auto"/>
              <w:rPr>
                <w:sz w:val="20"/>
                <w:szCs w:val="20"/>
              </w:rPr>
            </w:pPr>
            <w:r>
              <w:t>[Siège]</w:t>
            </w: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80"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618" w:type="dxa"/>
            <w:gridSpan w:val="2"/>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nil"/>
              <w:right w:val="single" w:color="000000" w:sz="4" w:space="0"/>
            </w:tcBorders>
            <w:vAlign w:val="center"/>
          </w:tcPr>
          <w:p>
            <w:pPr>
              <w:pStyle w:val="3"/>
              <w:spacing w:before="60" w:after="60" w:line="360" w:lineRule="auto"/>
              <w:rPr>
                <w:sz w:val="20"/>
                <w:szCs w:val="20"/>
              </w:rPr>
            </w:pPr>
          </w:p>
        </w:tc>
      </w:tr>
      <w:tr>
        <w:trPr>
          <w:gridAfter w:val="1"/>
          <w:wAfter w:w="30" w:type="dxa"/>
          <w:cantSplit/>
          <w:trHeight w:val="165" w:hRule="atLeast"/>
          <w:tblHeader/>
          <w:jc w:val="center"/>
        </w:trPr>
        <w:tc>
          <w:tcPr>
            <w:tcW w:w="377" w:type="dxa"/>
            <w:vMerge w:val="continue"/>
            <w:tcBorders>
              <w:top w:val="single" w:color="000000" w:sz="6" w:space="0"/>
              <w:left w:val="single" w:color="000000" w:sz="4" w:space="0"/>
              <w:right w:val="single" w:color="000000" w:sz="6" w:space="0"/>
            </w:tcBorders>
            <w:vAlign w:val="center"/>
          </w:tcPr>
          <w:p>
            <w:pPr>
              <w:pStyle w:val="3"/>
              <w:widowControl w:val="0"/>
              <w:spacing w:line="276" w:lineRule="auto"/>
              <w:rPr>
                <w:sz w:val="20"/>
                <w:szCs w:val="20"/>
              </w:rPr>
            </w:pPr>
          </w:p>
        </w:tc>
        <w:tc>
          <w:tcPr>
            <w:tcW w:w="1425" w:type="dxa"/>
            <w:tcBorders>
              <w:left w:val="single" w:color="000000" w:sz="6" w:space="0"/>
              <w:right w:val="single" w:color="000000" w:sz="6" w:space="0"/>
            </w:tcBorders>
          </w:tcPr>
          <w:p>
            <w:pPr>
              <w:pStyle w:val="3"/>
              <w:spacing w:before="60" w:after="60" w:line="360" w:lineRule="auto"/>
              <w:rPr>
                <w:sz w:val="20"/>
                <w:szCs w:val="20"/>
              </w:rPr>
            </w:pPr>
          </w:p>
        </w:tc>
        <w:tc>
          <w:tcPr>
            <w:tcW w:w="1018" w:type="dxa"/>
            <w:vMerge w:val="continue"/>
            <w:tcBorders>
              <w:top w:val="single" w:color="000000" w:sz="6" w:space="0"/>
              <w:left w:val="single" w:color="000000" w:sz="6" w:space="0"/>
              <w:right w:val="single" w:color="000000" w:sz="6" w:space="0"/>
            </w:tcBorders>
          </w:tcPr>
          <w:p>
            <w:pPr>
              <w:pStyle w:val="3"/>
              <w:widowControl w:val="0"/>
              <w:spacing w:line="276" w:lineRule="auto"/>
              <w:rPr>
                <w:sz w:val="20"/>
                <w:szCs w:val="20"/>
              </w:rPr>
            </w:pPr>
          </w:p>
        </w:tc>
        <w:tc>
          <w:tcPr>
            <w:tcW w:w="882" w:type="dxa"/>
            <w:tcBorders>
              <w:top w:val="dashed" w:color="000000" w:sz="4" w:space="0"/>
              <w:left w:val="single" w:color="000000" w:sz="6" w:space="0"/>
              <w:bottom w:val="single" w:color="000000" w:sz="6" w:space="0"/>
              <w:right w:val="single" w:color="000000" w:sz="6" w:space="0"/>
            </w:tcBorders>
            <w:vAlign w:val="center"/>
          </w:tcPr>
          <w:p>
            <w:pPr>
              <w:pStyle w:val="3"/>
              <w:spacing w:before="60" w:after="60" w:line="360" w:lineRule="auto"/>
              <w:rPr>
                <w:sz w:val="20"/>
                <w:szCs w:val="20"/>
              </w:rPr>
            </w:pPr>
            <w:r>
              <w:t>[Terr.]</w:t>
            </w: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80"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nil"/>
              <w:left w:val="single" w:color="000000" w:sz="6" w:space="0"/>
              <w:right w:val="single" w:color="000000" w:sz="4" w:space="0"/>
            </w:tcBorders>
            <w:vAlign w:val="center"/>
          </w:tcPr>
          <w:p>
            <w:pPr>
              <w:pStyle w:val="3"/>
              <w:spacing w:before="60" w:after="60" w:line="360" w:lineRule="auto"/>
              <w:rPr>
                <w:sz w:val="20"/>
                <w:szCs w:val="20"/>
              </w:rPr>
            </w:pPr>
          </w:p>
        </w:tc>
      </w:tr>
      <w:tr>
        <w:trPr>
          <w:gridAfter w:val="1"/>
          <w:wAfter w:w="30" w:type="dxa"/>
          <w:cantSplit/>
          <w:trHeight w:val="287" w:hRule="atLeast"/>
          <w:tblHeader/>
          <w:jc w:val="center"/>
        </w:trPr>
        <w:tc>
          <w:tcPr>
            <w:tcW w:w="377" w:type="dxa"/>
            <w:vMerge w:val="restart"/>
            <w:tcBorders>
              <w:top w:val="single" w:color="000000" w:sz="6" w:space="0"/>
              <w:left w:val="single" w:color="000000" w:sz="4" w:space="0"/>
              <w:right w:val="single" w:color="000000" w:sz="6" w:space="0"/>
            </w:tcBorders>
            <w:vAlign w:val="center"/>
          </w:tcPr>
          <w:p>
            <w:pPr>
              <w:pStyle w:val="3"/>
              <w:spacing w:before="60" w:after="60" w:line="360" w:lineRule="auto"/>
              <w:jc w:val="center"/>
              <w:rPr>
                <w:sz w:val="20"/>
                <w:szCs w:val="20"/>
              </w:rPr>
            </w:pPr>
            <w:r>
              <w:t>2</w:t>
            </w:r>
          </w:p>
        </w:tc>
        <w:tc>
          <w:tcPr>
            <w:tcW w:w="1425" w:type="dxa"/>
            <w:tcBorders>
              <w:top w:val="single" w:color="000000" w:sz="6" w:space="0"/>
              <w:left w:val="single" w:color="000000" w:sz="6" w:space="0"/>
              <w:right w:val="single" w:color="000000" w:sz="6" w:space="0"/>
            </w:tcBorders>
          </w:tcPr>
          <w:p>
            <w:pPr>
              <w:pStyle w:val="3"/>
              <w:spacing w:before="60" w:after="60" w:line="360" w:lineRule="auto"/>
              <w:rPr>
                <w:sz w:val="20"/>
                <w:szCs w:val="20"/>
              </w:rPr>
            </w:pPr>
          </w:p>
        </w:tc>
        <w:tc>
          <w:tcPr>
            <w:tcW w:w="1018" w:type="dxa"/>
            <w:vMerge w:val="restart"/>
            <w:tcBorders>
              <w:top w:val="single" w:color="000000" w:sz="6" w:space="0"/>
              <w:left w:val="single" w:color="000000" w:sz="6" w:space="0"/>
              <w:right w:val="single" w:color="000000" w:sz="6" w:space="0"/>
            </w:tcBorders>
          </w:tcPr>
          <w:p>
            <w:pPr>
              <w:pStyle w:val="3"/>
              <w:spacing w:before="60" w:after="60" w:line="360" w:lineRule="auto"/>
              <w:rPr>
                <w:sz w:val="20"/>
                <w:szCs w:val="20"/>
              </w:rPr>
            </w:pPr>
          </w:p>
        </w:tc>
        <w:tc>
          <w:tcPr>
            <w:tcW w:w="882"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80"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618" w:type="dxa"/>
            <w:gridSpan w:val="2"/>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nil"/>
              <w:right w:val="single" w:color="000000" w:sz="4" w:space="0"/>
            </w:tcBorders>
            <w:vAlign w:val="center"/>
          </w:tcPr>
          <w:p>
            <w:pPr>
              <w:pStyle w:val="3"/>
              <w:spacing w:before="60" w:after="60" w:line="360" w:lineRule="auto"/>
              <w:rPr>
                <w:sz w:val="20"/>
                <w:szCs w:val="20"/>
              </w:rPr>
            </w:pPr>
          </w:p>
        </w:tc>
      </w:tr>
      <w:tr>
        <w:trPr>
          <w:gridAfter w:val="1"/>
          <w:wAfter w:w="30" w:type="dxa"/>
          <w:cantSplit/>
          <w:trHeight w:val="165" w:hRule="atLeast"/>
          <w:tblHeader/>
          <w:jc w:val="center"/>
        </w:trPr>
        <w:tc>
          <w:tcPr>
            <w:tcW w:w="377" w:type="dxa"/>
            <w:vMerge w:val="continue"/>
            <w:tcBorders>
              <w:top w:val="single" w:color="000000" w:sz="6" w:space="0"/>
              <w:left w:val="single" w:color="000000" w:sz="4" w:space="0"/>
              <w:right w:val="single" w:color="000000" w:sz="6" w:space="0"/>
            </w:tcBorders>
            <w:vAlign w:val="center"/>
          </w:tcPr>
          <w:p>
            <w:pPr>
              <w:pStyle w:val="3"/>
              <w:widowControl w:val="0"/>
              <w:spacing w:line="276" w:lineRule="auto"/>
              <w:rPr>
                <w:sz w:val="20"/>
                <w:szCs w:val="20"/>
              </w:rPr>
            </w:pPr>
          </w:p>
        </w:tc>
        <w:tc>
          <w:tcPr>
            <w:tcW w:w="1425" w:type="dxa"/>
            <w:tcBorders>
              <w:left w:val="single" w:color="000000" w:sz="6" w:space="0"/>
              <w:right w:val="single" w:color="000000" w:sz="6" w:space="0"/>
            </w:tcBorders>
          </w:tcPr>
          <w:p>
            <w:pPr>
              <w:pStyle w:val="3"/>
              <w:spacing w:before="60" w:after="60" w:line="360" w:lineRule="auto"/>
              <w:rPr>
                <w:sz w:val="20"/>
                <w:szCs w:val="20"/>
              </w:rPr>
            </w:pPr>
          </w:p>
        </w:tc>
        <w:tc>
          <w:tcPr>
            <w:tcW w:w="1018" w:type="dxa"/>
            <w:vMerge w:val="continue"/>
            <w:tcBorders>
              <w:top w:val="single" w:color="000000" w:sz="6" w:space="0"/>
              <w:left w:val="single" w:color="000000" w:sz="6" w:space="0"/>
              <w:right w:val="single" w:color="000000" w:sz="6" w:space="0"/>
            </w:tcBorders>
          </w:tcPr>
          <w:p>
            <w:pPr>
              <w:pStyle w:val="3"/>
              <w:widowControl w:val="0"/>
              <w:spacing w:line="276" w:lineRule="auto"/>
              <w:rPr>
                <w:sz w:val="20"/>
                <w:szCs w:val="20"/>
              </w:rPr>
            </w:pPr>
          </w:p>
        </w:tc>
        <w:tc>
          <w:tcPr>
            <w:tcW w:w="882"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480" w:type="dxa"/>
            <w:tcBorders>
              <w:top w:val="dashed" w:color="000000" w:sz="4"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nil"/>
              <w:left w:val="single" w:color="000000" w:sz="6" w:space="0"/>
              <w:right w:val="single" w:color="000000" w:sz="4" w:space="0"/>
            </w:tcBorders>
            <w:vAlign w:val="center"/>
          </w:tcPr>
          <w:p>
            <w:pPr>
              <w:pStyle w:val="3"/>
              <w:spacing w:before="60" w:after="60" w:line="360" w:lineRule="auto"/>
              <w:rPr>
                <w:sz w:val="20"/>
                <w:szCs w:val="20"/>
              </w:rPr>
            </w:pPr>
          </w:p>
        </w:tc>
      </w:tr>
      <w:tr>
        <w:trPr>
          <w:gridAfter w:val="1"/>
          <w:wAfter w:w="30" w:type="dxa"/>
          <w:cantSplit/>
          <w:trHeight w:val="287" w:hRule="atLeast"/>
          <w:tblHeader/>
          <w:jc w:val="center"/>
        </w:trPr>
        <w:tc>
          <w:tcPr>
            <w:tcW w:w="377" w:type="dxa"/>
            <w:vMerge w:val="restart"/>
            <w:tcBorders>
              <w:top w:val="single" w:color="000000" w:sz="6" w:space="0"/>
              <w:left w:val="single" w:color="000000" w:sz="4" w:space="0"/>
              <w:right w:val="single" w:color="000000" w:sz="6" w:space="0"/>
            </w:tcBorders>
            <w:vAlign w:val="center"/>
          </w:tcPr>
          <w:p>
            <w:pPr>
              <w:pStyle w:val="3"/>
              <w:spacing w:before="60" w:after="60" w:line="360" w:lineRule="auto"/>
              <w:jc w:val="center"/>
              <w:rPr>
                <w:sz w:val="20"/>
                <w:szCs w:val="20"/>
              </w:rPr>
            </w:pPr>
            <w:r>
              <w:t>n</w:t>
            </w:r>
          </w:p>
        </w:tc>
        <w:tc>
          <w:tcPr>
            <w:tcW w:w="1425" w:type="dxa"/>
            <w:tcBorders>
              <w:top w:val="single" w:color="000000" w:sz="6" w:space="0"/>
              <w:left w:val="single" w:color="000000" w:sz="6" w:space="0"/>
              <w:right w:val="single" w:color="000000" w:sz="6" w:space="0"/>
            </w:tcBorders>
          </w:tcPr>
          <w:p>
            <w:pPr>
              <w:pStyle w:val="3"/>
              <w:spacing w:before="60" w:after="60" w:line="360" w:lineRule="auto"/>
              <w:rPr>
                <w:sz w:val="20"/>
                <w:szCs w:val="20"/>
              </w:rPr>
            </w:pPr>
          </w:p>
        </w:tc>
        <w:tc>
          <w:tcPr>
            <w:tcW w:w="1018" w:type="dxa"/>
            <w:vMerge w:val="restart"/>
            <w:tcBorders>
              <w:top w:val="single" w:color="000000" w:sz="6" w:space="0"/>
              <w:left w:val="single" w:color="000000" w:sz="6" w:space="0"/>
              <w:right w:val="single" w:color="000000" w:sz="6" w:space="0"/>
            </w:tcBorders>
          </w:tcPr>
          <w:p>
            <w:pPr>
              <w:pStyle w:val="3"/>
              <w:spacing w:before="60" w:after="60" w:line="360" w:lineRule="auto"/>
              <w:rPr>
                <w:sz w:val="20"/>
                <w:szCs w:val="20"/>
              </w:rPr>
            </w:pPr>
          </w:p>
        </w:tc>
        <w:tc>
          <w:tcPr>
            <w:tcW w:w="882"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75"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480" w:type="dxa"/>
            <w:tcBorders>
              <w:top w:val="single" w:color="000000" w:sz="6" w:space="0"/>
              <w:left w:val="single" w:color="000000" w:sz="6" w:space="0"/>
              <w:bottom w:val="dashed" w:color="000000" w:sz="4" w:space="0"/>
              <w:right w:val="single" w:color="000000" w:sz="6" w:space="0"/>
            </w:tcBorders>
          </w:tcPr>
          <w:p>
            <w:pPr>
              <w:pStyle w:val="3"/>
              <w:spacing w:before="60" w:after="60" w:line="360" w:lineRule="auto"/>
              <w:rPr>
                <w:sz w:val="20"/>
                <w:szCs w:val="20"/>
              </w:rPr>
            </w:pPr>
          </w:p>
        </w:tc>
        <w:tc>
          <w:tcPr>
            <w:tcW w:w="618" w:type="dxa"/>
            <w:gridSpan w:val="2"/>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nil"/>
              <w:right w:val="single" w:color="000000" w:sz="4" w:space="0"/>
            </w:tcBorders>
            <w:vAlign w:val="center"/>
          </w:tcPr>
          <w:p>
            <w:pPr>
              <w:pStyle w:val="3"/>
              <w:spacing w:before="60" w:after="60" w:line="360" w:lineRule="auto"/>
              <w:rPr>
                <w:sz w:val="20"/>
                <w:szCs w:val="20"/>
              </w:rPr>
            </w:pPr>
          </w:p>
        </w:tc>
      </w:tr>
      <w:tr>
        <w:trPr>
          <w:gridAfter w:val="1"/>
          <w:wAfter w:w="30" w:type="dxa"/>
          <w:cantSplit/>
          <w:trHeight w:val="165" w:hRule="atLeast"/>
          <w:tblHeader/>
          <w:jc w:val="center"/>
        </w:trPr>
        <w:tc>
          <w:tcPr>
            <w:tcW w:w="377" w:type="dxa"/>
            <w:vMerge w:val="continue"/>
            <w:tcBorders>
              <w:top w:val="single" w:color="000000" w:sz="6" w:space="0"/>
              <w:left w:val="single" w:color="000000" w:sz="4" w:space="0"/>
              <w:right w:val="single" w:color="000000" w:sz="6" w:space="0"/>
            </w:tcBorders>
            <w:vAlign w:val="center"/>
          </w:tcPr>
          <w:p>
            <w:pPr>
              <w:pStyle w:val="3"/>
              <w:widowControl w:val="0"/>
              <w:spacing w:line="276" w:lineRule="auto"/>
              <w:rPr>
                <w:sz w:val="20"/>
                <w:szCs w:val="20"/>
              </w:rPr>
            </w:pPr>
          </w:p>
        </w:tc>
        <w:tc>
          <w:tcPr>
            <w:tcW w:w="1425" w:type="dxa"/>
            <w:tcBorders>
              <w:left w:val="single" w:color="000000" w:sz="6" w:space="0"/>
              <w:right w:val="single" w:color="000000" w:sz="6" w:space="0"/>
            </w:tcBorders>
          </w:tcPr>
          <w:p>
            <w:pPr>
              <w:pStyle w:val="3"/>
              <w:spacing w:before="60" w:after="60" w:line="360" w:lineRule="auto"/>
              <w:rPr>
                <w:sz w:val="20"/>
                <w:szCs w:val="20"/>
              </w:rPr>
            </w:pPr>
          </w:p>
        </w:tc>
        <w:tc>
          <w:tcPr>
            <w:tcW w:w="1018" w:type="dxa"/>
            <w:vMerge w:val="continue"/>
            <w:tcBorders>
              <w:top w:val="single" w:color="000000" w:sz="6" w:space="0"/>
              <w:left w:val="single" w:color="000000" w:sz="6" w:space="0"/>
              <w:right w:val="single" w:color="000000" w:sz="6" w:space="0"/>
            </w:tcBorders>
          </w:tcPr>
          <w:p>
            <w:pPr>
              <w:pStyle w:val="3"/>
              <w:widowControl w:val="0"/>
              <w:spacing w:line="276" w:lineRule="auto"/>
              <w:rPr>
                <w:sz w:val="20"/>
                <w:szCs w:val="20"/>
              </w:rPr>
            </w:pPr>
          </w:p>
        </w:tc>
        <w:tc>
          <w:tcPr>
            <w:tcW w:w="882"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75"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480" w:type="dxa"/>
            <w:tcBorders>
              <w:top w:val="dashed" w:color="000000" w:sz="4" w:space="0"/>
              <w:left w:val="single" w:color="000000" w:sz="6" w:space="0"/>
              <w:bottom w:val="dotted" w:color="000000" w:sz="4" w:space="0"/>
              <w:right w:val="single" w:color="000000" w:sz="6" w:space="0"/>
            </w:tcBorders>
          </w:tcPr>
          <w:p>
            <w:pPr>
              <w:pStyle w:val="3"/>
              <w:spacing w:before="60" w:after="60" w:line="360" w:lineRule="auto"/>
              <w:rPr>
                <w:sz w:val="20"/>
                <w:szCs w:val="20"/>
              </w:rPr>
            </w:pPr>
          </w:p>
        </w:tc>
        <w:tc>
          <w:tcPr>
            <w:tcW w:w="618" w:type="dxa"/>
            <w:gridSpan w:val="2"/>
            <w:tcBorders>
              <w:top w:val="single" w:color="000000" w:sz="6" w:space="0"/>
              <w:left w:val="single" w:color="000000" w:sz="6" w:space="0"/>
              <w:bottom w:val="single" w:color="000000" w:sz="6"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nil"/>
              <w:left w:val="single" w:color="000000" w:sz="6" w:space="0"/>
              <w:right w:val="single" w:color="000000" w:sz="4" w:space="0"/>
            </w:tcBorders>
            <w:vAlign w:val="center"/>
          </w:tcPr>
          <w:p>
            <w:pPr>
              <w:pStyle w:val="3"/>
              <w:spacing w:before="60" w:after="60" w:line="360" w:lineRule="auto"/>
              <w:rPr>
                <w:sz w:val="20"/>
                <w:szCs w:val="20"/>
              </w:rPr>
            </w:pPr>
          </w:p>
        </w:tc>
      </w:tr>
      <w:tr>
        <w:trPr>
          <w:gridAfter w:val="1"/>
          <w:wAfter w:w="30" w:type="dxa"/>
          <w:cantSplit/>
          <w:trHeight w:val="326" w:hRule="atLeast"/>
          <w:tblHeader/>
          <w:jc w:val="center"/>
        </w:trPr>
        <w:tc>
          <w:tcPr>
            <w:tcW w:w="377" w:type="dxa"/>
            <w:tcBorders>
              <w:top w:val="single" w:color="000000" w:sz="6" w:space="0"/>
              <w:left w:val="single" w:color="000000" w:sz="4" w:space="0"/>
              <w:bottom w:val="nil"/>
              <w:right w:val="nil"/>
            </w:tcBorders>
          </w:tcPr>
          <w:p>
            <w:pPr>
              <w:pStyle w:val="3"/>
              <w:spacing w:before="60" w:after="60" w:line="360" w:lineRule="auto"/>
              <w:rPr>
                <w:sz w:val="20"/>
                <w:szCs w:val="20"/>
              </w:rPr>
            </w:pPr>
          </w:p>
        </w:tc>
        <w:tc>
          <w:tcPr>
            <w:tcW w:w="1425" w:type="dxa"/>
            <w:tcBorders>
              <w:top w:val="single" w:color="000000" w:sz="6" w:space="0"/>
              <w:left w:val="nil"/>
              <w:bottom w:val="nil"/>
              <w:right w:val="nil"/>
            </w:tcBorders>
          </w:tcPr>
          <w:p>
            <w:pPr>
              <w:pStyle w:val="3"/>
              <w:spacing w:before="60" w:after="60" w:line="360" w:lineRule="auto"/>
              <w:rPr>
                <w:sz w:val="20"/>
                <w:szCs w:val="20"/>
              </w:rPr>
            </w:pPr>
          </w:p>
        </w:tc>
        <w:tc>
          <w:tcPr>
            <w:tcW w:w="1018" w:type="dxa"/>
            <w:tcBorders>
              <w:top w:val="single" w:color="000000" w:sz="6" w:space="0"/>
              <w:left w:val="nil"/>
              <w:bottom w:val="nil"/>
              <w:right w:val="nil"/>
            </w:tcBorders>
          </w:tcPr>
          <w:p>
            <w:pPr>
              <w:pStyle w:val="3"/>
              <w:spacing w:before="60" w:after="60" w:line="360" w:lineRule="auto"/>
              <w:rPr>
                <w:sz w:val="20"/>
                <w:szCs w:val="20"/>
              </w:rPr>
            </w:pPr>
          </w:p>
        </w:tc>
        <w:tc>
          <w:tcPr>
            <w:tcW w:w="882"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right w:val="nil"/>
            </w:tcBorders>
          </w:tcPr>
          <w:p>
            <w:pPr>
              <w:pStyle w:val="3"/>
              <w:spacing w:before="60" w:after="60" w:line="360" w:lineRule="auto"/>
              <w:rPr>
                <w:sz w:val="20"/>
                <w:szCs w:val="20"/>
              </w:rPr>
            </w:pPr>
          </w:p>
        </w:tc>
        <w:tc>
          <w:tcPr>
            <w:tcW w:w="475" w:type="dxa"/>
            <w:tcBorders>
              <w:top w:val="single" w:color="000000" w:sz="6" w:space="0"/>
              <w:left w:val="nil"/>
              <w:bottom w:val="nil"/>
            </w:tcBorders>
          </w:tcPr>
          <w:p>
            <w:pPr>
              <w:pStyle w:val="3"/>
              <w:spacing w:before="60" w:after="60" w:line="360" w:lineRule="auto"/>
              <w:rPr>
                <w:sz w:val="20"/>
                <w:szCs w:val="20"/>
              </w:rPr>
            </w:pPr>
          </w:p>
        </w:tc>
        <w:tc>
          <w:tcPr>
            <w:tcW w:w="1905" w:type="dxa"/>
            <w:gridSpan w:val="4"/>
            <w:tcBorders>
              <w:top w:val="single" w:color="000000" w:sz="6" w:space="0"/>
              <w:left w:val="single" w:color="000000" w:sz="6" w:space="0"/>
              <w:bottom w:val="single" w:color="000000" w:sz="6" w:space="0"/>
              <w:right w:val="single" w:color="000000" w:sz="6" w:space="0"/>
            </w:tcBorders>
            <w:vAlign w:val="center"/>
          </w:tcPr>
          <w:p>
            <w:pPr>
              <w:pStyle w:val="3"/>
              <w:spacing w:before="60" w:after="60" w:line="360" w:lineRule="auto"/>
              <w:rPr>
                <w:b/>
                <w:i/>
                <w:smallCaps/>
              </w:rPr>
            </w:pPr>
            <w:r>
              <w:rPr>
                <w:b/>
              </w:rPr>
              <w:t>Total partiel</w:t>
            </w:r>
          </w:p>
        </w:tc>
        <w:tc>
          <w:tcPr>
            <w:tcW w:w="618" w:type="dxa"/>
            <w:gridSpan w:val="2"/>
            <w:tcBorders>
              <w:top w:val="single" w:color="000000" w:sz="6" w:space="0"/>
              <w:bottom w:val="single" w:color="000000" w:sz="6" w:space="0"/>
              <w:right w:val="single" w:color="000000" w:sz="6" w:space="0"/>
            </w:tcBorders>
          </w:tcPr>
          <w:p>
            <w:pPr>
              <w:pStyle w:val="3"/>
              <w:keepLines/>
              <w:spacing w:before="60" w:after="60" w:line="360" w:lineRule="auto"/>
              <w:rPr>
                <w:i/>
                <w:sz w:val="20"/>
                <w:szCs w:val="20"/>
              </w:rPr>
            </w:pPr>
          </w:p>
        </w:tc>
        <w:tc>
          <w:tcPr>
            <w:tcW w:w="618" w:type="dxa"/>
            <w:tcBorders>
              <w:top w:val="single" w:color="000000" w:sz="6" w:space="0"/>
              <w:left w:val="single" w:color="000000" w:sz="6" w:space="0"/>
              <w:bottom w:val="single" w:color="000000" w:sz="6" w:space="0"/>
              <w:right w:val="single" w:color="000000" w:sz="6" w:space="0"/>
            </w:tcBorders>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6" w:space="0"/>
              <w:right w:val="single" w:color="000000" w:sz="4" w:space="0"/>
            </w:tcBorders>
            <w:vAlign w:val="center"/>
          </w:tcPr>
          <w:p>
            <w:pPr>
              <w:pStyle w:val="3"/>
              <w:spacing w:before="60" w:after="60" w:line="360" w:lineRule="auto"/>
              <w:rPr>
                <w:sz w:val="20"/>
                <w:szCs w:val="20"/>
              </w:rPr>
            </w:pPr>
          </w:p>
        </w:tc>
      </w:tr>
      <w:tr>
        <w:trPr>
          <w:gridAfter w:val="1"/>
          <w:wAfter w:w="30" w:type="dxa"/>
          <w:cantSplit/>
          <w:trHeight w:val="326" w:hRule="atLeast"/>
          <w:tblHeader/>
          <w:jc w:val="center"/>
        </w:trPr>
        <w:tc>
          <w:tcPr>
            <w:tcW w:w="377" w:type="dxa"/>
            <w:tcBorders>
              <w:top w:val="nil"/>
              <w:left w:val="single" w:color="000000" w:sz="4" w:space="0"/>
              <w:bottom w:val="single" w:color="000000" w:sz="4" w:space="0"/>
              <w:right w:val="nil"/>
            </w:tcBorders>
          </w:tcPr>
          <w:p>
            <w:pPr>
              <w:pStyle w:val="3"/>
              <w:spacing w:before="60" w:after="60" w:line="360" w:lineRule="auto"/>
              <w:rPr>
                <w:sz w:val="20"/>
                <w:szCs w:val="20"/>
              </w:rPr>
            </w:pPr>
          </w:p>
        </w:tc>
        <w:tc>
          <w:tcPr>
            <w:tcW w:w="1425" w:type="dxa"/>
            <w:tcBorders>
              <w:top w:val="nil"/>
              <w:left w:val="nil"/>
              <w:bottom w:val="single" w:color="000000" w:sz="4" w:space="0"/>
              <w:right w:val="nil"/>
            </w:tcBorders>
          </w:tcPr>
          <w:p>
            <w:pPr>
              <w:pStyle w:val="3"/>
              <w:spacing w:before="60" w:after="60" w:line="360" w:lineRule="auto"/>
              <w:rPr>
                <w:sz w:val="20"/>
                <w:szCs w:val="20"/>
              </w:rPr>
            </w:pPr>
          </w:p>
        </w:tc>
        <w:tc>
          <w:tcPr>
            <w:tcW w:w="1018" w:type="dxa"/>
            <w:tcBorders>
              <w:top w:val="nil"/>
              <w:left w:val="nil"/>
              <w:bottom w:val="single" w:color="000000" w:sz="4" w:space="0"/>
              <w:right w:val="nil"/>
            </w:tcBorders>
          </w:tcPr>
          <w:p>
            <w:pPr>
              <w:pStyle w:val="3"/>
              <w:spacing w:before="60" w:after="60" w:line="360" w:lineRule="auto"/>
              <w:rPr>
                <w:sz w:val="20"/>
                <w:szCs w:val="20"/>
              </w:rPr>
            </w:pPr>
          </w:p>
        </w:tc>
        <w:tc>
          <w:tcPr>
            <w:tcW w:w="882"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right w:val="nil"/>
            </w:tcBorders>
          </w:tcPr>
          <w:p>
            <w:pPr>
              <w:pStyle w:val="3"/>
              <w:spacing w:before="60" w:after="60" w:line="360" w:lineRule="auto"/>
              <w:rPr>
                <w:sz w:val="20"/>
                <w:szCs w:val="20"/>
              </w:rPr>
            </w:pPr>
          </w:p>
        </w:tc>
        <w:tc>
          <w:tcPr>
            <w:tcW w:w="475" w:type="dxa"/>
            <w:tcBorders>
              <w:top w:val="nil"/>
              <w:left w:val="nil"/>
              <w:bottom w:val="single" w:color="000000" w:sz="4" w:space="0"/>
            </w:tcBorders>
          </w:tcPr>
          <w:p>
            <w:pPr>
              <w:pStyle w:val="3"/>
              <w:spacing w:before="60" w:after="60" w:line="360" w:lineRule="auto"/>
              <w:rPr>
                <w:sz w:val="20"/>
                <w:szCs w:val="20"/>
              </w:rPr>
            </w:pPr>
          </w:p>
        </w:tc>
        <w:tc>
          <w:tcPr>
            <w:tcW w:w="1905" w:type="dxa"/>
            <w:gridSpan w:val="4"/>
            <w:tcBorders>
              <w:top w:val="single" w:color="000000" w:sz="6" w:space="0"/>
              <w:left w:val="single" w:color="000000" w:sz="6" w:space="0"/>
              <w:bottom w:val="single" w:color="000000" w:sz="4" w:space="0"/>
              <w:right w:val="single" w:color="000000" w:sz="6" w:space="0"/>
            </w:tcBorders>
            <w:vAlign w:val="center"/>
          </w:tcPr>
          <w:p>
            <w:pPr>
              <w:pStyle w:val="3"/>
              <w:spacing w:before="60" w:after="60" w:line="360" w:lineRule="auto"/>
              <w:rPr>
                <w:b/>
                <w:sz w:val="20"/>
                <w:szCs w:val="20"/>
              </w:rPr>
            </w:pPr>
            <w:r>
              <w:rPr>
                <w:b/>
              </w:rPr>
              <w:t>Total</w:t>
            </w:r>
          </w:p>
        </w:tc>
        <w:tc>
          <w:tcPr>
            <w:tcW w:w="618" w:type="dxa"/>
            <w:gridSpan w:val="2"/>
            <w:tcBorders>
              <w:top w:val="single" w:color="000000" w:sz="6" w:space="0"/>
              <w:bottom w:val="single" w:color="000000" w:sz="4"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4" w:space="0"/>
              <w:right w:val="single" w:color="000000" w:sz="6" w:space="0"/>
            </w:tcBorders>
            <w:shd w:val="clear" w:color="auto" w:fill="auto"/>
          </w:tcPr>
          <w:p>
            <w:pPr>
              <w:pStyle w:val="3"/>
              <w:spacing w:before="60" w:after="60" w:line="360" w:lineRule="auto"/>
              <w:rPr>
                <w:sz w:val="20"/>
                <w:szCs w:val="20"/>
              </w:rPr>
            </w:pPr>
          </w:p>
        </w:tc>
        <w:tc>
          <w:tcPr>
            <w:tcW w:w="618" w:type="dxa"/>
            <w:tcBorders>
              <w:top w:val="single" w:color="000000" w:sz="6" w:space="0"/>
              <w:left w:val="single" w:color="000000" w:sz="6" w:space="0"/>
              <w:bottom w:val="single" w:color="000000" w:sz="4" w:space="0"/>
              <w:right w:val="single" w:color="000000" w:sz="4" w:space="0"/>
            </w:tcBorders>
          </w:tcPr>
          <w:p>
            <w:pPr>
              <w:pStyle w:val="3"/>
              <w:spacing w:before="60" w:after="60" w:line="360" w:lineRule="auto"/>
              <w:rPr>
                <w:sz w:val="20"/>
                <w:szCs w:val="20"/>
              </w:rPr>
            </w:pPr>
          </w:p>
        </w:tc>
      </w:tr>
    </w:tbl>
    <w:p>
      <w:pPr>
        <w:pStyle w:val="3"/>
        <w:widowControl w:val="0"/>
        <w:tabs>
          <w:tab w:val="left" w:pos="4540"/>
        </w:tabs>
        <w:spacing w:before="60" w:line="360" w:lineRule="auto"/>
        <w:ind w:left="127" w:right="-20"/>
        <w:rPr>
          <w:b/>
          <w:i/>
          <w:smallCaps/>
        </w:rPr>
      </w:pPr>
      <w:r>
        <w:t xml:space="preserve">Rapports à fournir : </w:t>
      </w:r>
      <w:r>
        <w:rPr>
          <w:u w:val="single"/>
        </w:rPr>
        <w:tab/>
      </w:r>
    </w:p>
    <w:p>
      <w:pPr>
        <w:pStyle w:val="3"/>
        <w:widowControl w:val="0"/>
        <w:spacing w:before="60" w:line="360" w:lineRule="auto"/>
        <w:ind w:left="127" w:right="-20"/>
        <w:rPr>
          <w:b/>
          <w:i/>
          <w:smallCaps/>
        </w:rPr>
      </w:pPr>
      <w:r>
        <w:t>Durée des activités :</w:t>
      </w:r>
      <w:r>
        <mc:AlternateContent>
          <mc:Choice Requires="wps">
            <w:drawing>
              <wp:anchor distT="0" distB="0" distL="0" distR="0" simplePos="0" relativeHeight="251662336" behindDoc="1" locked="0" layoutInCell="1" allowOverlap="1">
                <wp:simplePos x="0" y="0"/>
                <wp:positionH relativeFrom="column">
                  <wp:posOffset>1301115</wp:posOffset>
                </wp:positionH>
                <wp:positionV relativeFrom="paragraph">
                  <wp:posOffset>118745</wp:posOffset>
                </wp:positionV>
                <wp:extent cx="1440815" cy="0"/>
                <wp:effectExtent l="10160" t="13970" r="6350" b="5080"/>
                <wp:wrapNone/>
                <wp:docPr id="2" name="Forme libre 2"/>
                <wp:cNvGraphicFramePr/>
                <a:graphic xmlns:a="http://schemas.openxmlformats.org/drawingml/2006/main">
                  <a:graphicData uri="http://schemas.microsoft.com/office/word/2010/wordprocessingShape">
                    <wps:wsp>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ln>
                      </wps:spPr>
                      <wps:bodyPr rot="0" vert="horz" wrap="square" lIns="91440" tIns="45720" rIns="91440" bIns="45720" anchor="t" anchorCtr="0" upright="1">
                        <a:noAutofit/>
                      </wps:bodyPr>
                    </wps:wsp>
                  </a:graphicData>
                </a:graphic>
              </wp:anchor>
            </w:drawing>
          </mc:Choice>
          <mc:Fallback>
            <w:pict>
              <v:shape id="Forme libre 2" o:spid="_x0000_s1026" o:spt="100" style="position:absolute;left:0pt;margin-left:102.45pt;margin-top:9.35pt;height:0pt;width:113.45pt;z-index:-251654144;mso-width-relative:page;mso-height-relative:page;" filled="f" stroked="t" coordsize="2269,1" o:gfxdata="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CmJp3YAAAACQEAAA8AAAAAAAAAAQAgAAAA&#10;IgAAAGRycy9kb3ducmV2LnhtbFBLAQIUABQAAAAIAIdO4kB0oaEjfQIAAHwFAAAOAAAAAAAAAAEA&#10;IAAAACcBAABkcnMvZTJvRG9jLnhtbFBLBQYAAAAABgAGAFkBAAAWBgAAAAAA&#10;" path="m0,0l2269,0e">
                <v:path o:connectlocs="0,0;914917525,0" o:connectangles="0,0"/>
                <v:fill on="f" focussize="0,0"/>
                <v:stroke weight="0.5pt" color="#221F1F" joinstyle="round"/>
                <v:imagedata o:title=""/>
                <o:lock v:ext="edit" aspectratio="f"/>
              </v:shape>
            </w:pict>
          </mc:Fallback>
        </mc:AlternateContent>
      </w:r>
    </w:p>
    <w:p>
      <w:pPr>
        <w:pStyle w:val="3"/>
        <w:widowControl w:val="0"/>
        <w:spacing w:before="60" w:after="60" w:line="360" w:lineRule="auto"/>
        <w:ind w:left="5887" w:right="-20"/>
        <w:rPr>
          <w:b/>
          <w:i/>
          <w:smallCaps/>
        </w:rPr>
      </w:pPr>
      <w:r>
        <w:t xml:space="preserve">Signature : </w:t>
      </w:r>
      <w:r>
        <w:rPr>
          <w:i/>
        </w:rPr>
        <w:t>(Représentant habilité)</w:t>
      </w:r>
    </w:p>
    <w:p>
      <w:pPr>
        <w:pStyle w:val="3"/>
        <w:widowControl w:val="0"/>
        <w:spacing w:before="60" w:after="60" w:line="360" w:lineRule="auto"/>
        <w:ind w:left="5887" w:right="-20"/>
        <w:rPr>
          <w:b/>
          <w:i/>
          <w:smallCaps/>
        </w:rPr>
      </w:pPr>
      <w:r>
        <w:t xml:space="preserve">Nom : </w:t>
      </w:r>
      <w:r>
        <w:rPr>
          <w:u w:val="single"/>
        </w:rPr>
        <w:tab/>
      </w:r>
    </w:p>
    <w:p>
      <w:pPr>
        <w:pStyle w:val="3"/>
        <w:widowControl w:val="0"/>
        <w:spacing w:before="60" w:after="60" w:line="360" w:lineRule="auto"/>
        <w:ind w:left="5887" w:right="-20"/>
        <w:rPr>
          <w:sz w:val="20"/>
          <w:szCs w:val="20"/>
          <w:u w:val="single"/>
        </w:rPr>
      </w:pPr>
      <w:r>
        <w:t xml:space="preserve">Titre : </w:t>
      </w:r>
      <w:r>
        <w:rPr>
          <w:u w:val="single"/>
        </w:rPr>
        <w:tab/>
      </w:r>
    </w:p>
    <w:p>
      <w:pPr>
        <w:pStyle w:val="3"/>
        <w:widowControl w:val="0"/>
        <w:spacing w:before="60" w:after="60" w:line="360" w:lineRule="auto"/>
        <w:ind w:left="5887" w:right="-20"/>
        <w:rPr>
          <w:b/>
          <w:sz w:val="20"/>
          <w:szCs w:val="20"/>
        </w:rPr>
      </w:pPr>
      <w:r>
        <w:t xml:space="preserve">Adresse : </w:t>
      </w:r>
      <w:r>
        <w:rPr>
          <w:u w:val="single"/>
        </w:rPr>
        <w:tab/>
      </w:r>
    </w:p>
    <w:p>
      <w:pPr>
        <w:pStyle w:val="3"/>
        <w:spacing w:before="60" w:after="60" w:line="360" w:lineRule="auto"/>
        <w:jc w:val="center"/>
        <w:rPr>
          <w:b/>
          <w:sz w:val="20"/>
          <w:szCs w:val="20"/>
        </w:rPr>
        <w:sectPr>
          <w:headerReference r:id="rId6" w:type="default"/>
          <w:headerReference r:id="rId7" w:type="even"/>
          <w:pgSz w:w="11900" w:h="16820"/>
          <w:pgMar w:top="1417" w:right="1417" w:bottom="1417" w:left="1417" w:header="720" w:footer="720" w:gutter="0"/>
          <w:cols w:space="720" w:num="1"/>
          <w:titlePg/>
        </w:sectPr>
      </w:pPr>
    </w:p>
    <w:p>
      <w:pPr>
        <w:pStyle w:val="3"/>
        <w:widowControl w:val="0"/>
        <w:spacing w:before="240" w:after="240" w:line="360" w:lineRule="auto"/>
        <w:ind w:right="-6"/>
        <w:jc w:val="center"/>
        <w:rPr>
          <w:b/>
          <w:smallCaps/>
          <w:sz w:val="32"/>
          <w:szCs w:val="32"/>
        </w:rPr>
      </w:pPr>
      <w:r>
        <w:rPr>
          <w:b/>
          <w:smallCaps/>
          <w:sz w:val="32"/>
          <w:szCs w:val="32"/>
        </w:rPr>
        <w:t xml:space="preserve">ANNEXEN°9 : MODÈLE DE LISTE DU PERSONNEL À MOBILISER </w:t>
      </w:r>
    </w:p>
    <w:p>
      <w:pPr>
        <w:pStyle w:val="3"/>
        <w:widowControl w:val="0"/>
        <w:spacing w:after="60" w:line="360" w:lineRule="auto"/>
        <w:jc w:val="both"/>
        <w:rPr>
          <w:b/>
          <w:i/>
          <w:smallCaps/>
        </w:rPr>
      </w:pPr>
      <w:r>
        <w:t>e</w:t>
      </w:r>
      <w:r>
        <w:rPr>
          <w:b/>
        </w:rPr>
        <w:t>1. Personnel technique clé /de gestion</w:t>
      </w:r>
    </w:p>
    <w:p>
      <w:pPr>
        <w:pStyle w:val="3"/>
        <w:widowControl w:val="0"/>
        <w:spacing w:before="60" w:after="60" w:line="360" w:lineRule="auto"/>
        <w:rPr>
          <w:sz w:val="8"/>
          <w:szCs w:val="8"/>
        </w:rPr>
      </w:pPr>
    </w:p>
    <w:tbl>
      <w:tblPr>
        <w:tblStyle w:val="44"/>
        <w:tblW w:w="11006" w:type="dxa"/>
        <w:tblInd w:w="-572" w:type="dxa"/>
        <w:tblLayout w:type="fixed"/>
        <w:tblCellMar>
          <w:top w:w="0" w:type="dxa"/>
          <w:left w:w="0" w:type="dxa"/>
          <w:bottom w:w="0" w:type="dxa"/>
          <w:right w:w="0" w:type="dxa"/>
        </w:tblCellMar>
      </w:tblPr>
      <w:tblGrid>
        <w:gridCol w:w="3302"/>
        <w:gridCol w:w="1345"/>
        <w:gridCol w:w="1345"/>
        <w:gridCol w:w="1345"/>
        <w:gridCol w:w="1877"/>
        <w:gridCol w:w="1792"/>
      </w:tblGrid>
      <w:tr>
        <w:tblPrEx>
          <w:tblLayout w:type="fixed"/>
        </w:tblPrEx>
        <w:trPr>
          <w:cantSplit/>
          <w:trHeight w:val="1349" w:hRule="atLeast"/>
          <w:tblHeader/>
        </w:trPr>
        <w:tc>
          <w:tcPr>
            <w:tcW w:w="3302" w:type="dxa"/>
            <w:tcBorders>
              <w:top w:val="single" w:color="221F1F" w:sz="4" w:space="0"/>
              <w:left w:val="single" w:color="221F1F" w:sz="4" w:space="0"/>
              <w:bottom w:val="single" w:color="221F1F" w:sz="4" w:space="0"/>
              <w:right w:val="single" w:color="221F1F" w:sz="4" w:space="0"/>
            </w:tcBorders>
            <w:shd w:val="clear" w:color="auto" w:fill="D9D9D9"/>
          </w:tcPr>
          <w:p>
            <w:pPr>
              <w:pStyle w:val="3"/>
              <w:widowControl w:val="0"/>
              <w:tabs>
                <w:tab w:val="left" w:pos="3295"/>
              </w:tabs>
              <w:spacing w:before="60" w:after="60" w:line="360" w:lineRule="auto"/>
              <w:ind w:left="1156" w:right="993"/>
              <w:jc w:val="center"/>
              <w:rPr>
                <w:b/>
                <w:i/>
                <w:smallCaps/>
              </w:rPr>
            </w:pPr>
            <w:bookmarkStart w:id="205" w:name="_2zlqixl" w:colFirst="0" w:colLast="0"/>
            <w:bookmarkEnd w:id="205"/>
            <w:r>
              <w:rPr>
                <w:b/>
              </w:rPr>
              <w:t>Nom</w:t>
            </w:r>
          </w:p>
        </w:tc>
        <w:tc>
          <w:tcPr>
            <w:tcW w:w="1345" w:type="dxa"/>
            <w:tcBorders>
              <w:top w:val="single" w:color="221F1F" w:sz="4" w:space="0"/>
              <w:left w:val="single" w:color="221F1F" w:sz="4" w:space="0"/>
              <w:bottom w:val="single" w:color="221F1F" w:sz="4" w:space="0"/>
              <w:right w:val="single" w:color="221F1F" w:sz="4" w:space="0"/>
            </w:tcBorders>
            <w:shd w:val="clear" w:color="auto" w:fill="D9D9D9"/>
          </w:tcPr>
          <w:p>
            <w:pPr>
              <w:pStyle w:val="3"/>
              <w:widowControl w:val="0"/>
              <w:tabs>
                <w:tab w:val="left" w:pos="3295"/>
              </w:tabs>
              <w:spacing w:before="60" w:after="60" w:line="360" w:lineRule="auto"/>
              <w:ind w:right="283"/>
              <w:jc w:val="center"/>
              <w:rPr>
                <w:b/>
                <w:sz w:val="20"/>
                <w:szCs w:val="20"/>
              </w:rPr>
            </w:pPr>
            <w:r>
              <w:rPr>
                <w:b/>
                <w:sz w:val="20"/>
                <w:szCs w:val="20"/>
              </w:rPr>
              <w:t xml:space="preserve">Fonction proposée </w:t>
            </w:r>
          </w:p>
        </w:tc>
        <w:tc>
          <w:tcPr>
            <w:tcW w:w="1345" w:type="dxa"/>
            <w:tcBorders>
              <w:top w:val="single" w:color="221F1F" w:sz="4" w:space="0"/>
              <w:left w:val="single" w:color="221F1F" w:sz="4" w:space="0"/>
              <w:bottom w:val="single" w:color="221F1F" w:sz="4" w:space="0"/>
              <w:right w:val="single" w:color="221F1F" w:sz="4" w:space="0"/>
            </w:tcBorders>
            <w:shd w:val="clear" w:color="auto" w:fill="D9D9D9"/>
          </w:tcPr>
          <w:p>
            <w:pPr>
              <w:pStyle w:val="3"/>
              <w:widowControl w:val="0"/>
              <w:tabs>
                <w:tab w:val="left" w:pos="3295"/>
              </w:tabs>
              <w:spacing w:before="60" w:after="60" w:line="360" w:lineRule="auto"/>
              <w:ind w:right="283"/>
              <w:jc w:val="center"/>
              <w:rPr>
                <w:sz w:val="20"/>
                <w:szCs w:val="20"/>
              </w:rPr>
            </w:pPr>
            <w:r>
              <w:rPr>
                <w:b/>
                <w:sz w:val="20"/>
                <w:szCs w:val="20"/>
              </w:rPr>
              <w:t>Qualification minimale</w:t>
            </w:r>
          </w:p>
        </w:tc>
        <w:tc>
          <w:tcPr>
            <w:tcW w:w="1345" w:type="dxa"/>
            <w:tcBorders>
              <w:top w:val="single" w:color="221F1F" w:sz="4" w:space="0"/>
              <w:left w:val="single" w:color="221F1F" w:sz="4" w:space="0"/>
              <w:bottom w:val="single" w:color="221F1F" w:sz="4" w:space="0"/>
              <w:right w:val="single" w:color="221F1F" w:sz="4" w:space="0"/>
            </w:tcBorders>
            <w:shd w:val="clear" w:color="auto" w:fill="D9D9D9"/>
          </w:tcPr>
          <w:p>
            <w:pPr>
              <w:pStyle w:val="3"/>
              <w:widowControl w:val="0"/>
              <w:spacing w:before="60" w:after="60" w:line="360" w:lineRule="auto"/>
              <w:ind w:right="-20"/>
              <w:jc w:val="center"/>
              <w:rPr>
                <w:b/>
                <w:sz w:val="20"/>
                <w:szCs w:val="20"/>
              </w:rPr>
            </w:pPr>
            <w:r>
              <w:rPr>
                <w:b/>
                <w:sz w:val="20"/>
                <w:szCs w:val="20"/>
              </w:rPr>
              <w:t>Années</w:t>
            </w:r>
          </w:p>
          <w:p>
            <w:pPr>
              <w:pStyle w:val="3"/>
              <w:widowControl w:val="0"/>
              <w:spacing w:before="60" w:after="60" w:line="360" w:lineRule="auto"/>
              <w:ind w:right="-20"/>
              <w:jc w:val="center"/>
              <w:rPr>
                <w:b/>
                <w:sz w:val="20"/>
                <w:szCs w:val="20"/>
              </w:rPr>
            </w:pPr>
            <w:r>
              <w:rPr>
                <w:b/>
                <w:sz w:val="20"/>
                <w:szCs w:val="20"/>
              </w:rPr>
              <w:t xml:space="preserve"> D’expérience</w:t>
            </w:r>
          </w:p>
          <w:p>
            <w:pPr>
              <w:pStyle w:val="3"/>
              <w:widowControl w:val="0"/>
              <w:spacing w:before="60" w:after="60" w:line="360" w:lineRule="auto"/>
              <w:ind w:right="-20"/>
              <w:jc w:val="center"/>
              <w:rPr>
                <w:b/>
                <w:sz w:val="20"/>
                <w:szCs w:val="20"/>
              </w:rPr>
            </w:pPr>
            <w:r>
              <w:rPr>
                <w:b/>
                <w:sz w:val="20"/>
                <w:szCs w:val="20"/>
              </w:rPr>
              <w:t>Générale</w:t>
            </w:r>
          </w:p>
        </w:tc>
        <w:tc>
          <w:tcPr>
            <w:tcW w:w="1877" w:type="dxa"/>
            <w:tcBorders>
              <w:top w:val="single" w:color="221F1F" w:sz="4" w:space="0"/>
              <w:left w:val="single" w:color="221F1F" w:sz="4" w:space="0"/>
              <w:bottom w:val="single" w:color="221F1F" w:sz="4" w:space="0"/>
              <w:right w:val="single" w:color="221F1F" w:sz="4" w:space="0"/>
            </w:tcBorders>
            <w:shd w:val="clear" w:color="auto" w:fill="D9D9D9"/>
          </w:tcPr>
          <w:p>
            <w:pPr>
              <w:pStyle w:val="3"/>
              <w:widowControl w:val="0"/>
              <w:ind w:right="-20"/>
              <w:jc w:val="center"/>
              <w:rPr>
                <w:b/>
                <w:sz w:val="20"/>
                <w:szCs w:val="20"/>
              </w:rPr>
            </w:pPr>
            <w:r>
              <w:rPr>
                <w:b/>
                <w:sz w:val="20"/>
                <w:szCs w:val="20"/>
              </w:rPr>
              <w:t>Années d’Expérience Spécifique</w:t>
            </w:r>
          </w:p>
          <w:p>
            <w:pPr>
              <w:pStyle w:val="3"/>
              <w:widowControl w:val="0"/>
              <w:ind w:right="-20"/>
              <w:jc w:val="center"/>
              <w:rPr>
                <w:b/>
                <w:sz w:val="20"/>
                <w:szCs w:val="20"/>
              </w:rPr>
            </w:pPr>
            <w:r>
              <w:rPr>
                <w:b/>
                <w:sz w:val="20"/>
                <w:szCs w:val="20"/>
              </w:rPr>
              <w:t>En</w:t>
            </w:r>
          </w:p>
          <w:p>
            <w:pPr>
              <w:pStyle w:val="3"/>
              <w:widowControl w:val="0"/>
              <w:ind w:right="-20"/>
              <w:jc w:val="center"/>
              <w:rPr>
                <w:b/>
                <w:sz w:val="20"/>
                <w:szCs w:val="20"/>
              </w:rPr>
            </w:pPr>
            <w:r>
              <w:rPr>
                <w:b/>
                <w:sz w:val="20"/>
                <w:szCs w:val="20"/>
              </w:rPr>
              <w:t>Terme de projets  similaires  réalisés</w:t>
            </w:r>
          </w:p>
        </w:tc>
        <w:tc>
          <w:tcPr>
            <w:tcW w:w="1792" w:type="dxa"/>
            <w:tcBorders>
              <w:top w:val="single" w:color="221F1F" w:sz="4" w:space="0"/>
              <w:left w:val="single" w:color="221F1F" w:sz="4" w:space="0"/>
              <w:bottom w:val="single" w:color="221F1F" w:sz="4" w:space="0"/>
              <w:right w:val="single" w:color="221F1F" w:sz="4" w:space="0"/>
            </w:tcBorders>
            <w:shd w:val="clear" w:color="auto" w:fill="D9D9D9"/>
          </w:tcPr>
          <w:p>
            <w:pPr>
              <w:pStyle w:val="3"/>
              <w:widowControl w:val="0"/>
              <w:spacing w:before="60" w:after="60" w:line="360" w:lineRule="auto"/>
              <w:ind w:left="572" w:right="-20" w:hanging="595"/>
              <w:jc w:val="both"/>
              <w:rPr>
                <w:b/>
                <w:sz w:val="20"/>
                <w:szCs w:val="20"/>
              </w:rPr>
            </w:pPr>
            <w:r>
              <w:rPr>
                <w:b/>
                <w:sz w:val="20"/>
                <w:szCs w:val="20"/>
              </w:rPr>
              <w:t xml:space="preserve">    Poste ou fonction </w:t>
            </w:r>
          </w:p>
          <w:p>
            <w:pPr>
              <w:pStyle w:val="3"/>
              <w:widowControl w:val="0"/>
              <w:spacing w:before="60" w:after="60" w:line="360" w:lineRule="auto"/>
              <w:ind w:left="878" w:right="-20" w:hanging="595"/>
              <w:jc w:val="both"/>
              <w:rPr>
                <w:b/>
                <w:sz w:val="20"/>
                <w:szCs w:val="20"/>
              </w:rPr>
            </w:pPr>
            <w:r>
              <w:rPr>
                <w:b/>
                <w:sz w:val="20"/>
                <w:szCs w:val="20"/>
              </w:rPr>
              <w:t>Occupé (e) pour</w:t>
            </w:r>
          </w:p>
          <w:p>
            <w:pPr>
              <w:pStyle w:val="3"/>
              <w:widowControl w:val="0"/>
              <w:spacing w:before="60" w:after="60" w:line="360" w:lineRule="auto"/>
              <w:ind w:left="878" w:right="-20" w:hanging="595"/>
              <w:jc w:val="both"/>
              <w:rPr>
                <w:b/>
                <w:sz w:val="20"/>
                <w:szCs w:val="20"/>
              </w:rPr>
            </w:pPr>
            <w:r>
              <w:rPr>
                <w:b/>
                <w:sz w:val="20"/>
                <w:szCs w:val="20"/>
              </w:rPr>
              <w:t xml:space="preserve">Chaque projet </w:t>
            </w:r>
          </w:p>
          <w:p>
            <w:pPr>
              <w:pStyle w:val="3"/>
              <w:widowControl w:val="0"/>
              <w:spacing w:before="60" w:after="60" w:line="360" w:lineRule="auto"/>
              <w:ind w:left="878" w:right="-20" w:hanging="595"/>
              <w:jc w:val="center"/>
              <w:rPr>
                <w:sz w:val="20"/>
                <w:szCs w:val="20"/>
              </w:rPr>
            </w:pPr>
          </w:p>
        </w:tc>
      </w:tr>
      <w:tr>
        <w:tblPrEx>
          <w:tblLayout w:type="fixed"/>
        </w:tblPrEx>
        <w:trPr>
          <w:cantSplit/>
          <w:trHeight w:val="629" w:hRule="atLeast"/>
          <w:tblHeader/>
        </w:trPr>
        <w:tc>
          <w:tcPr>
            <w:tcW w:w="33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r>
              <w:t xml:space="preserve"> </w:t>
            </w:r>
          </w:p>
        </w:tc>
        <w:tc>
          <w:tcPr>
            <w:tcW w:w="187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79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629" w:hRule="atLeast"/>
          <w:tblHeader/>
        </w:trPr>
        <w:tc>
          <w:tcPr>
            <w:tcW w:w="33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87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79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629" w:hRule="atLeast"/>
          <w:tblHeader/>
        </w:trPr>
        <w:tc>
          <w:tcPr>
            <w:tcW w:w="33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87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79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629" w:hRule="atLeast"/>
          <w:tblHeader/>
        </w:trPr>
        <w:tc>
          <w:tcPr>
            <w:tcW w:w="33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87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79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629" w:hRule="atLeast"/>
          <w:tblHeader/>
        </w:trPr>
        <w:tc>
          <w:tcPr>
            <w:tcW w:w="33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87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79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r>
        <w:tblPrEx>
          <w:tblLayout w:type="fixed"/>
        </w:tblPrEx>
        <w:trPr>
          <w:cantSplit/>
          <w:trHeight w:val="644" w:hRule="atLeast"/>
          <w:tblHeader/>
        </w:trPr>
        <w:tc>
          <w:tcPr>
            <w:tcW w:w="330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345"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877"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c>
          <w:tcPr>
            <w:tcW w:w="1792" w:type="dxa"/>
            <w:tcBorders>
              <w:top w:val="single" w:color="221F1F" w:sz="4" w:space="0"/>
              <w:left w:val="single" w:color="221F1F" w:sz="4" w:space="0"/>
              <w:bottom w:val="single" w:color="221F1F" w:sz="4" w:space="0"/>
              <w:right w:val="single" w:color="221F1F" w:sz="4" w:space="0"/>
            </w:tcBorders>
          </w:tcPr>
          <w:p>
            <w:pPr>
              <w:pStyle w:val="3"/>
              <w:widowControl w:val="0"/>
              <w:spacing w:before="60" w:after="60" w:line="360" w:lineRule="auto"/>
              <w:rPr>
                <w:b/>
                <w:i/>
                <w:smallCaps/>
              </w:rPr>
            </w:pPr>
          </w:p>
        </w:tc>
      </w:tr>
    </w:tbl>
    <w:p>
      <w:pPr>
        <w:pStyle w:val="3"/>
        <w:widowControl w:val="0"/>
        <w:spacing w:after="60" w:line="360" w:lineRule="auto"/>
        <w:rPr>
          <w:b/>
          <w:i/>
          <w:smallCaps/>
        </w:rPr>
      </w:pPr>
    </w:p>
    <w:p>
      <w:pPr>
        <w:pStyle w:val="3"/>
        <w:widowControl w:val="0"/>
        <w:spacing w:after="60" w:line="360" w:lineRule="auto"/>
        <w:jc w:val="both"/>
        <w:rPr>
          <w:b/>
          <w:i/>
          <w:smallCaps/>
        </w:rPr>
      </w:pPr>
    </w:p>
    <w:p>
      <w:pPr>
        <w:pStyle w:val="3"/>
        <w:widowControl w:val="0"/>
        <w:numPr>
          <w:ilvl w:val="0"/>
          <w:numId w:val="87"/>
        </w:numPr>
        <w:spacing w:after="60" w:line="360" w:lineRule="auto"/>
        <w:jc w:val="both"/>
        <w:rPr>
          <w:b/>
          <w:i/>
          <w:smallCaps/>
        </w:rPr>
      </w:pPr>
      <w:r>
        <w:t xml:space="preserve">Personnel d’appui (siège et local) </w:t>
      </w:r>
    </w:p>
    <w:p>
      <w:pPr>
        <w:pStyle w:val="3"/>
        <w:widowControl w:val="0"/>
        <w:spacing w:after="60" w:line="360" w:lineRule="auto"/>
        <w:jc w:val="both"/>
        <w:rPr>
          <w:b/>
          <w:i/>
          <w:smallCaps/>
        </w:rPr>
      </w:pPr>
    </w:p>
    <w:tbl>
      <w:tblPr>
        <w:tblStyle w:val="45"/>
        <w:tblW w:w="94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8"/>
        <w:gridCol w:w="1771"/>
        <w:gridCol w:w="1881"/>
        <w:gridCol w:w="1881"/>
        <w:gridCol w:w="1881"/>
      </w:tblGrid>
      <w:tr>
        <w:trPr>
          <w:cantSplit/>
          <w:trHeight w:val="491" w:hRule="atLeast"/>
          <w:tblHeader/>
        </w:trPr>
        <w:tc>
          <w:tcPr>
            <w:tcW w:w="1988" w:type="dxa"/>
            <w:shd w:val="clear" w:color="auto" w:fill="E7E6E6"/>
          </w:tcPr>
          <w:p>
            <w:pPr>
              <w:pStyle w:val="3"/>
              <w:widowControl w:val="0"/>
              <w:spacing w:after="60" w:line="360" w:lineRule="auto"/>
              <w:jc w:val="both"/>
              <w:rPr>
                <w:b/>
                <w:i/>
                <w:smallCaps/>
              </w:rPr>
            </w:pPr>
            <w:bookmarkStart w:id="206" w:name="_1er0t5e" w:colFirst="0" w:colLast="0"/>
            <w:bookmarkEnd w:id="206"/>
            <w:r>
              <w:t xml:space="preserve">Nom </w:t>
            </w:r>
          </w:p>
        </w:tc>
        <w:tc>
          <w:tcPr>
            <w:tcW w:w="1771" w:type="dxa"/>
            <w:shd w:val="clear" w:color="auto" w:fill="E7E6E6"/>
          </w:tcPr>
          <w:p>
            <w:pPr>
              <w:pStyle w:val="3"/>
              <w:widowControl w:val="0"/>
              <w:spacing w:after="60" w:line="360" w:lineRule="auto"/>
              <w:jc w:val="both"/>
              <w:rPr>
                <w:b/>
                <w:i/>
                <w:smallCaps/>
              </w:rPr>
            </w:pPr>
            <w:r>
              <w:t xml:space="preserve">Spécialisation  </w:t>
            </w:r>
          </w:p>
        </w:tc>
        <w:tc>
          <w:tcPr>
            <w:tcW w:w="1881" w:type="dxa"/>
            <w:shd w:val="clear" w:color="auto" w:fill="E7E6E6"/>
          </w:tcPr>
          <w:p>
            <w:pPr>
              <w:pStyle w:val="3"/>
              <w:widowControl w:val="0"/>
              <w:spacing w:after="60" w:line="360" w:lineRule="auto"/>
              <w:jc w:val="both"/>
              <w:rPr>
                <w:b/>
                <w:i/>
                <w:smallCaps/>
              </w:rPr>
            </w:pPr>
            <w:r>
              <w:t>Poste</w:t>
            </w:r>
          </w:p>
        </w:tc>
        <w:tc>
          <w:tcPr>
            <w:tcW w:w="1881" w:type="dxa"/>
            <w:shd w:val="clear" w:color="auto" w:fill="E7E6E6"/>
          </w:tcPr>
          <w:p>
            <w:pPr>
              <w:pStyle w:val="3"/>
              <w:widowControl w:val="0"/>
              <w:spacing w:after="60" w:line="360" w:lineRule="auto"/>
              <w:jc w:val="both"/>
              <w:rPr>
                <w:b/>
                <w:i/>
                <w:smallCaps/>
              </w:rPr>
            </w:pPr>
            <w:r>
              <w:t xml:space="preserve"> Année d’Expérience </w:t>
            </w:r>
          </w:p>
        </w:tc>
        <w:tc>
          <w:tcPr>
            <w:tcW w:w="1881" w:type="dxa"/>
            <w:shd w:val="clear" w:color="auto" w:fill="E7E6E6"/>
          </w:tcPr>
          <w:p>
            <w:pPr>
              <w:pStyle w:val="3"/>
              <w:widowControl w:val="0"/>
              <w:spacing w:after="60" w:line="360" w:lineRule="auto"/>
              <w:jc w:val="both"/>
              <w:rPr>
                <w:b/>
                <w:i/>
                <w:smallCaps/>
              </w:rPr>
            </w:pPr>
            <w:r>
              <w:t>Attributions</w:t>
            </w:r>
          </w:p>
        </w:tc>
      </w:tr>
      <w:tr>
        <w:trPr>
          <w:cantSplit/>
          <w:trHeight w:val="503" w:hRule="atLeast"/>
          <w:tblHeader/>
        </w:trPr>
        <w:tc>
          <w:tcPr>
            <w:tcW w:w="1988" w:type="dxa"/>
          </w:tcPr>
          <w:p>
            <w:pPr>
              <w:pStyle w:val="3"/>
              <w:widowControl w:val="0"/>
              <w:spacing w:after="60" w:line="360" w:lineRule="auto"/>
              <w:jc w:val="both"/>
              <w:rPr>
                <w:b/>
                <w:i/>
                <w:smallCaps/>
              </w:rPr>
            </w:pPr>
          </w:p>
        </w:tc>
        <w:tc>
          <w:tcPr>
            <w:tcW w:w="177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r>
      <w:tr>
        <w:trPr>
          <w:cantSplit/>
          <w:trHeight w:val="491" w:hRule="atLeast"/>
          <w:tblHeader/>
        </w:trPr>
        <w:tc>
          <w:tcPr>
            <w:tcW w:w="1988" w:type="dxa"/>
          </w:tcPr>
          <w:p>
            <w:pPr>
              <w:pStyle w:val="3"/>
              <w:widowControl w:val="0"/>
              <w:spacing w:after="60" w:line="360" w:lineRule="auto"/>
              <w:jc w:val="both"/>
              <w:rPr>
                <w:b/>
                <w:i/>
                <w:smallCaps/>
              </w:rPr>
            </w:pPr>
          </w:p>
        </w:tc>
        <w:tc>
          <w:tcPr>
            <w:tcW w:w="177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r>
      <w:tr>
        <w:trPr>
          <w:cantSplit/>
          <w:trHeight w:val="491" w:hRule="atLeast"/>
          <w:tblHeader/>
        </w:trPr>
        <w:tc>
          <w:tcPr>
            <w:tcW w:w="1988" w:type="dxa"/>
          </w:tcPr>
          <w:p>
            <w:pPr>
              <w:pStyle w:val="3"/>
              <w:widowControl w:val="0"/>
              <w:spacing w:after="60" w:line="360" w:lineRule="auto"/>
              <w:jc w:val="both"/>
              <w:rPr>
                <w:b/>
                <w:i/>
                <w:smallCaps/>
              </w:rPr>
            </w:pPr>
          </w:p>
        </w:tc>
        <w:tc>
          <w:tcPr>
            <w:tcW w:w="177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c>
          <w:tcPr>
            <w:tcW w:w="1881" w:type="dxa"/>
          </w:tcPr>
          <w:p>
            <w:pPr>
              <w:pStyle w:val="3"/>
              <w:widowControl w:val="0"/>
              <w:spacing w:after="60" w:line="360" w:lineRule="auto"/>
              <w:jc w:val="both"/>
              <w:rPr>
                <w:b/>
                <w:i/>
                <w:smallCaps/>
              </w:rPr>
            </w:pPr>
          </w:p>
        </w:tc>
      </w:tr>
    </w:tbl>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spacing w:before="240" w:after="240" w:line="360" w:lineRule="auto"/>
        <w:ind w:right="-6"/>
        <w:jc w:val="center"/>
        <w:rPr>
          <w:b/>
          <w:smallCaps/>
          <w:sz w:val="32"/>
          <w:szCs w:val="32"/>
        </w:rPr>
      </w:pPr>
    </w:p>
    <w:p>
      <w:pPr>
        <w:pStyle w:val="3"/>
        <w:widowControl w:val="0"/>
        <w:spacing w:before="240" w:after="240" w:line="360" w:lineRule="auto"/>
        <w:ind w:right="-6"/>
        <w:jc w:val="center"/>
        <w:rPr>
          <w:b/>
          <w:smallCaps/>
          <w:sz w:val="32"/>
          <w:szCs w:val="32"/>
        </w:rPr>
      </w:pPr>
    </w:p>
    <w:p>
      <w:pPr>
        <w:pStyle w:val="3"/>
        <w:widowControl w:val="0"/>
        <w:spacing w:before="240" w:after="240" w:line="360" w:lineRule="auto"/>
        <w:ind w:right="-6"/>
        <w:jc w:val="center"/>
        <w:rPr>
          <w:b/>
          <w:smallCaps/>
          <w:sz w:val="32"/>
          <w:szCs w:val="32"/>
        </w:rPr>
      </w:pPr>
      <w:bookmarkStart w:id="207" w:name="_3yqobt7" w:colFirst="0" w:colLast="0"/>
      <w:bookmarkEnd w:id="207"/>
      <w:r>
        <w:rPr>
          <w:b/>
          <w:smallCaps/>
          <w:sz w:val="32"/>
          <w:szCs w:val="32"/>
        </w:rPr>
        <w:t>ANNEXEN°10 : MODÈLE FICHE DE PRESTATIONS SUSCEPTIBLES D’ÊTRE SOUS-TRAITÉES COMMANDÉES</w:t>
      </w:r>
    </w:p>
    <w:tbl>
      <w:tblPr>
        <w:tblStyle w:val="46"/>
        <w:tblW w:w="9667" w:type="dxa"/>
        <w:tblInd w:w="98" w:type="dxa"/>
        <w:tblLayout w:type="fixed"/>
        <w:tblCellMar>
          <w:top w:w="0" w:type="dxa"/>
          <w:left w:w="0" w:type="dxa"/>
          <w:bottom w:w="0" w:type="dxa"/>
          <w:right w:w="0" w:type="dxa"/>
        </w:tblCellMar>
      </w:tblPr>
      <w:tblGrid>
        <w:gridCol w:w="2166"/>
        <w:gridCol w:w="4016"/>
        <w:gridCol w:w="3485"/>
      </w:tblGrid>
      <w:tr>
        <w:tblPrEx>
          <w:tblLayout w:type="fixed"/>
        </w:tblPrEx>
        <w:trPr>
          <w:cantSplit/>
          <w:trHeight w:val="183" w:hRule="atLeast"/>
          <w:tblHeader/>
        </w:trPr>
        <w:tc>
          <w:tcPr>
            <w:tcW w:w="2166" w:type="dxa"/>
            <w:tcBorders>
              <w:top w:val="single" w:color="000000" w:sz="4" w:space="0"/>
              <w:left w:val="single" w:color="000000" w:sz="4" w:space="0"/>
              <w:bottom w:val="single" w:color="000000" w:sz="4" w:space="0"/>
              <w:right w:val="single" w:color="000000" w:sz="4" w:space="0"/>
            </w:tcBorders>
            <w:shd w:val="clear" w:color="auto" w:fill="E7E6E6"/>
            <w:tcMar>
              <w:top w:w="0" w:type="dxa"/>
              <w:left w:w="108" w:type="dxa"/>
              <w:bottom w:w="0" w:type="dxa"/>
              <w:right w:w="108" w:type="dxa"/>
            </w:tcMar>
          </w:tcPr>
          <w:p>
            <w:pPr>
              <w:pStyle w:val="3"/>
              <w:spacing w:after="60" w:line="360" w:lineRule="auto"/>
              <w:jc w:val="center"/>
              <w:rPr>
                <w:b/>
                <w:sz w:val="20"/>
                <w:szCs w:val="20"/>
              </w:rPr>
            </w:pPr>
            <w:r>
              <w:rPr>
                <w:b/>
              </w:rPr>
              <w:t>N°</w:t>
            </w:r>
          </w:p>
        </w:tc>
        <w:tc>
          <w:tcPr>
            <w:tcW w:w="4016" w:type="dxa"/>
            <w:tcBorders>
              <w:top w:val="single" w:color="000000" w:sz="4" w:space="0"/>
              <w:left w:val="single" w:color="000000" w:sz="4" w:space="0"/>
              <w:bottom w:val="single" w:color="000000" w:sz="4" w:space="0"/>
              <w:right w:val="single" w:color="000000" w:sz="4" w:space="0"/>
            </w:tcBorders>
            <w:shd w:val="clear" w:color="auto" w:fill="E7E6E6"/>
            <w:tcMar>
              <w:top w:w="0" w:type="dxa"/>
              <w:left w:w="108" w:type="dxa"/>
              <w:bottom w:w="0" w:type="dxa"/>
              <w:right w:w="108" w:type="dxa"/>
            </w:tcMar>
          </w:tcPr>
          <w:p>
            <w:pPr>
              <w:pStyle w:val="3"/>
              <w:spacing w:after="60" w:line="360" w:lineRule="auto"/>
              <w:jc w:val="center"/>
              <w:rPr>
                <w:b/>
                <w:sz w:val="20"/>
                <w:szCs w:val="20"/>
              </w:rPr>
            </w:pPr>
            <w:r>
              <w:rPr>
                <w:b/>
              </w:rPr>
              <w:t>Désignation des Fournitures</w:t>
            </w:r>
          </w:p>
        </w:tc>
        <w:tc>
          <w:tcPr>
            <w:tcW w:w="3485" w:type="dxa"/>
            <w:tcBorders>
              <w:top w:val="single" w:color="000000" w:sz="4" w:space="0"/>
              <w:left w:val="single" w:color="000000" w:sz="4" w:space="0"/>
              <w:bottom w:val="single" w:color="000000" w:sz="4" w:space="0"/>
              <w:right w:val="single" w:color="000000" w:sz="4" w:space="0"/>
            </w:tcBorders>
            <w:shd w:val="clear" w:color="auto" w:fill="E7E6E6"/>
            <w:tcMar>
              <w:top w:w="0" w:type="dxa"/>
              <w:left w:w="108" w:type="dxa"/>
              <w:bottom w:w="0" w:type="dxa"/>
              <w:right w:w="108" w:type="dxa"/>
            </w:tcMar>
          </w:tcPr>
          <w:p>
            <w:pPr>
              <w:pStyle w:val="3"/>
              <w:spacing w:after="60" w:line="360" w:lineRule="auto"/>
              <w:jc w:val="center"/>
              <w:rPr>
                <w:b/>
                <w:sz w:val="20"/>
                <w:szCs w:val="20"/>
              </w:rPr>
            </w:pPr>
            <w:r>
              <w:rPr>
                <w:b/>
              </w:rPr>
              <w:t>Quantité (Nombre d’unités)</w:t>
            </w:r>
          </w:p>
        </w:tc>
      </w:tr>
      <w:tr>
        <w:tblPrEx>
          <w:tblLayout w:type="fixed"/>
        </w:tblPrEx>
        <w:trPr>
          <w:cantSplit/>
          <w:trHeight w:val="425" w:hRule="atLeast"/>
          <w:tblHeader/>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i/>
                <w:sz w:val="20"/>
                <w:szCs w:val="20"/>
              </w:rPr>
            </w:pP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i/>
                <w:sz w:val="20"/>
                <w:szCs w:val="20"/>
              </w:rPr>
            </w:pPr>
            <w:r>
              <w:rPr>
                <w:i/>
              </w:rPr>
              <w:t xml:space="preserve">[Insérer la désignation des Fournitures] </w:t>
            </w:r>
          </w:p>
        </w:tc>
        <w:tc>
          <w:tcPr>
            <w:tcW w:w="34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i/>
                <w:sz w:val="20"/>
                <w:szCs w:val="20"/>
              </w:rPr>
            </w:pPr>
            <w:r>
              <w:rPr>
                <w:i/>
              </w:rPr>
              <w:t>[insérer la quantité des articles à fournir]</w:t>
            </w:r>
          </w:p>
        </w:tc>
      </w:tr>
      <w:tr>
        <w:tblPrEx>
          <w:tblLayout w:type="fixed"/>
        </w:tblPrEx>
        <w:trPr>
          <w:cantSplit/>
          <w:trHeight w:val="204" w:hRule="atLeast"/>
          <w:tblHeader/>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r>
      <w:tr>
        <w:tblPrEx>
          <w:tblLayout w:type="fixed"/>
        </w:tblPrEx>
        <w:trPr>
          <w:cantSplit/>
          <w:trHeight w:val="196" w:hRule="atLeast"/>
          <w:tblHeader/>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r>
      <w:tr>
        <w:tblPrEx>
          <w:tblLayout w:type="fixed"/>
        </w:tblPrEx>
        <w:trPr>
          <w:cantSplit/>
          <w:trHeight w:val="204" w:hRule="atLeast"/>
          <w:tblHeader/>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r>
      <w:tr>
        <w:tblPrEx>
          <w:tblLayout w:type="fixed"/>
        </w:tblPrEx>
        <w:trPr>
          <w:cantSplit/>
          <w:trHeight w:val="204" w:hRule="atLeast"/>
          <w:tblHeader/>
        </w:trPr>
        <w:tc>
          <w:tcPr>
            <w:tcW w:w="21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4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3"/>
              <w:spacing w:after="60" w:line="360" w:lineRule="auto"/>
              <w:rPr>
                <w:b/>
                <w:i/>
                <w:smallCaps/>
              </w:rPr>
            </w:pPr>
          </w:p>
        </w:tc>
      </w:tr>
    </w:tbl>
    <w:p>
      <w:pPr>
        <w:pStyle w:val="3"/>
        <w:widowControl w:val="0"/>
        <w:tabs>
          <w:tab w:val="left" w:pos="10420"/>
        </w:tabs>
        <w:spacing w:after="60" w:line="360" w:lineRule="auto"/>
        <w:rPr>
          <w:b/>
          <w:sz w:val="20"/>
          <w:szCs w:val="20"/>
        </w:rPr>
      </w:pPr>
    </w:p>
    <w:tbl>
      <w:tblPr>
        <w:tblStyle w:val="47"/>
        <w:tblW w:w="9570" w:type="dxa"/>
        <w:tblInd w:w="98" w:type="dxa"/>
        <w:tblLayout w:type="fixed"/>
        <w:tblCellMar>
          <w:top w:w="0" w:type="dxa"/>
          <w:left w:w="0" w:type="dxa"/>
          <w:bottom w:w="0" w:type="dxa"/>
          <w:right w:w="0" w:type="dxa"/>
        </w:tblCellMar>
      </w:tblPr>
      <w:tblGrid>
        <w:gridCol w:w="2048"/>
        <w:gridCol w:w="4174"/>
        <w:gridCol w:w="3348"/>
      </w:tblGrid>
      <w:tr>
        <w:tblPrEx>
          <w:tblLayout w:type="fixed"/>
        </w:tblPrEx>
        <w:trPr>
          <w:cantSplit/>
          <w:trHeight w:val="69" w:hRule="atLeast"/>
          <w:tblHeader/>
        </w:trPr>
        <w:tc>
          <w:tcPr>
            <w:tcW w:w="2048" w:type="dxa"/>
            <w:tcBorders>
              <w:top w:val="single" w:color="000000" w:sz="6" w:space="0"/>
              <w:left w:val="single" w:color="000000" w:sz="4" w:space="0"/>
              <w:bottom w:val="single" w:color="000000" w:sz="6" w:space="0"/>
              <w:right w:val="single" w:color="000000" w:sz="6" w:space="0"/>
            </w:tcBorders>
            <w:shd w:val="clear" w:color="auto" w:fill="E7E6E6"/>
            <w:tcMar>
              <w:top w:w="0" w:type="dxa"/>
              <w:left w:w="108" w:type="dxa"/>
              <w:bottom w:w="0" w:type="dxa"/>
              <w:right w:w="108" w:type="dxa"/>
            </w:tcMar>
          </w:tcPr>
          <w:p>
            <w:pPr>
              <w:pStyle w:val="3"/>
              <w:spacing w:after="60" w:line="360" w:lineRule="auto"/>
              <w:jc w:val="center"/>
              <w:rPr>
                <w:b/>
                <w:sz w:val="20"/>
                <w:szCs w:val="20"/>
              </w:rPr>
            </w:pPr>
            <w:r>
              <w:rPr>
                <w:b/>
              </w:rPr>
              <w:t>N° Service</w:t>
            </w:r>
          </w:p>
        </w:tc>
        <w:tc>
          <w:tcPr>
            <w:tcW w:w="4174" w:type="dxa"/>
            <w:tcBorders>
              <w:top w:val="single" w:color="000000" w:sz="6" w:space="0"/>
              <w:left w:val="single" w:color="000000" w:sz="6" w:space="0"/>
              <w:bottom w:val="single" w:color="000000" w:sz="6" w:space="0"/>
              <w:right w:val="single" w:color="000000" w:sz="6" w:space="0"/>
            </w:tcBorders>
            <w:shd w:val="clear" w:color="auto" w:fill="E7E6E6"/>
            <w:tcMar>
              <w:top w:w="0" w:type="dxa"/>
              <w:left w:w="108" w:type="dxa"/>
              <w:bottom w:w="0" w:type="dxa"/>
              <w:right w:w="108" w:type="dxa"/>
            </w:tcMar>
          </w:tcPr>
          <w:p>
            <w:pPr>
              <w:pStyle w:val="3"/>
              <w:spacing w:after="60" w:line="360" w:lineRule="auto"/>
              <w:jc w:val="center"/>
              <w:rPr>
                <w:b/>
                <w:sz w:val="20"/>
                <w:szCs w:val="20"/>
              </w:rPr>
            </w:pPr>
          </w:p>
          <w:p>
            <w:pPr>
              <w:pStyle w:val="3"/>
              <w:spacing w:after="60" w:line="360" w:lineRule="auto"/>
              <w:jc w:val="center"/>
              <w:rPr>
                <w:b/>
                <w:sz w:val="20"/>
                <w:szCs w:val="20"/>
              </w:rPr>
            </w:pPr>
            <w:r>
              <w:rPr>
                <w:b/>
              </w:rPr>
              <w:t>Désignation du Service</w:t>
            </w:r>
          </w:p>
        </w:tc>
        <w:tc>
          <w:tcPr>
            <w:tcW w:w="3348" w:type="dxa"/>
            <w:tcBorders>
              <w:top w:val="single" w:color="000000" w:sz="6" w:space="0"/>
              <w:left w:val="single" w:color="000000" w:sz="6" w:space="0"/>
              <w:right w:val="single" w:color="000000" w:sz="6" w:space="0"/>
            </w:tcBorders>
            <w:shd w:val="clear" w:color="auto" w:fill="E7E6E6"/>
          </w:tcPr>
          <w:p>
            <w:pPr>
              <w:pStyle w:val="3"/>
              <w:spacing w:after="60" w:line="360" w:lineRule="auto"/>
              <w:jc w:val="center"/>
              <w:rPr>
                <w:b/>
                <w:sz w:val="20"/>
                <w:szCs w:val="20"/>
              </w:rPr>
            </w:pPr>
          </w:p>
          <w:p>
            <w:pPr>
              <w:pStyle w:val="3"/>
              <w:spacing w:after="60" w:line="360" w:lineRule="auto"/>
              <w:jc w:val="center"/>
              <w:rPr>
                <w:b/>
                <w:sz w:val="20"/>
                <w:szCs w:val="20"/>
              </w:rPr>
            </w:pPr>
            <w:r>
              <w:rPr>
                <w:b/>
              </w:rPr>
              <w:t>Unité de mesure</w:t>
            </w:r>
          </w:p>
        </w:tc>
      </w:tr>
      <w:tr>
        <w:tblPrEx>
          <w:tblLayout w:type="fixed"/>
        </w:tblPrEx>
        <w:trPr>
          <w:cantSplit/>
          <w:trHeight w:val="148" w:hRule="atLeast"/>
          <w:tblHeader/>
        </w:trPr>
        <w:tc>
          <w:tcPr>
            <w:tcW w:w="2048"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tcPr>
          <w:p>
            <w:pPr>
              <w:pStyle w:val="3"/>
              <w:tabs>
                <w:tab w:val="left" w:pos="1559"/>
                <w:tab w:val="left" w:pos="1720"/>
              </w:tabs>
              <w:spacing w:after="60" w:line="360" w:lineRule="auto"/>
              <w:ind w:right="112"/>
              <w:jc w:val="center"/>
              <w:rPr>
                <w:i/>
                <w:sz w:val="20"/>
                <w:szCs w:val="20"/>
              </w:rPr>
            </w:pPr>
            <w:r>
              <w:rPr>
                <w:i/>
              </w:rPr>
              <w:t>[insérer le numéro du Service]</w:t>
            </w:r>
          </w:p>
        </w:tc>
        <w:tc>
          <w:tcPr>
            <w:tcW w:w="417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jc w:val="center"/>
              <w:rPr>
                <w:i/>
                <w:sz w:val="20"/>
                <w:szCs w:val="20"/>
              </w:rPr>
            </w:pPr>
            <w:r>
              <w:rPr>
                <w:i/>
              </w:rPr>
              <w:t>[insérer la désignation du service]</w:t>
            </w:r>
          </w:p>
        </w:tc>
        <w:tc>
          <w:tcPr>
            <w:tcW w:w="3348" w:type="dxa"/>
            <w:tcBorders>
              <w:top w:val="single" w:color="000000" w:sz="6" w:space="0"/>
              <w:left w:val="single" w:color="000000" w:sz="6" w:space="0"/>
              <w:bottom w:val="single" w:color="000000" w:sz="6" w:space="0"/>
              <w:right w:val="single" w:color="000000" w:sz="6" w:space="0"/>
            </w:tcBorders>
          </w:tcPr>
          <w:p>
            <w:pPr>
              <w:pStyle w:val="3"/>
              <w:spacing w:after="60" w:line="360" w:lineRule="auto"/>
              <w:jc w:val="center"/>
              <w:rPr>
                <w:i/>
                <w:sz w:val="20"/>
                <w:szCs w:val="20"/>
              </w:rPr>
            </w:pPr>
            <w:r>
              <w:rPr>
                <w:i/>
              </w:rPr>
              <w:t>[unité de mesure]</w:t>
            </w:r>
          </w:p>
        </w:tc>
      </w:tr>
      <w:tr>
        <w:tblPrEx>
          <w:tblLayout w:type="fixed"/>
        </w:tblPrEx>
        <w:trPr>
          <w:cantSplit/>
          <w:trHeight w:val="148" w:hRule="atLeast"/>
          <w:tblHeader/>
        </w:trPr>
        <w:tc>
          <w:tcPr>
            <w:tcW w:w="2048"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rPr>
                <w:b/>
                <w:i/>
                <w:smallCaps/>
              </w:rPr>
            </w:pPr>
          </w:p>
        </w:tc>
        <w:tc>
          <w:tcPr>
            <w:tcW w:w="417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rPr>
                <w:b/>
                <w:i/>
                <w:smallCaps/>
              </w:rPr>
            </w:pPr>
          </w:p>
        </w:tc>
        <w:tc>
          <w:tcPr>
            <w:tcW w:w="3348" w:type="dxa"/>
            <w:tcBorders>
              <w:top w:val="single" w:color="000000" w:sz="6" w:space="0"/>
              <w:left w:val="single" w:color="000000" w:sz="6" w:space="0"/>
              <w:bottom w:val="single" w:color="000000" w:sz="6" w:space="0"/>
              <w:right w:val="single" w:color="000000" w:sz="6" w:space="0"/>
            </w:tcBorders>
          </w:tcPr>
          <w:p>
            <w:pPr>
              <w:pStyle w:val="3"/>
              <w:spacing w:after="60" w:line="360" w:lineRule="auto"/>
              <w:rPr>
                <w:b/>
                <w:i/>
                <w:smallCaps/>
              </w:rPr>
            </w:pPr>
          </w:p>
        </w:tc>
      </w:tr>
      <w:tr>
        <w:tblPrEx>
          <w:tblLayout w:type="fixed"/>
        </w:tblPrEx>
        <w:trPr>
          <w:cantSplit/>
          <w:trHeight w:val="148" w:hRule="atLeast"/>
          <w:tblHeader/>
        </w:trPr>
        <w:tc>
          <w:tcPr>
            <w:tcW w:w="2048"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rPr>
                <w:b/>
                <w:i/>
                <w:smallCaps/>
              </w:rPr>
            </w:pPr>
          </w:p>
        </w:tc>
        <w:tc>
          <w:tcPr>
            <w:tcW w:w="417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rPr>
                <w:b/>
                <w:i/>
                <w:smallCaps/>
              </w:rPr>
            </w:pPr>
          </w:p>
        </w:tc>
        <w:tc>
          <w:tcPr>
            <w:tcW w:w="3348" w:type="dxa"/>
            <w:tcBorders>
              <w:top w:val="single" w:color="000000" w:sz="6" w:space="0"/>
              <w:left w:val="single" w:color="000000" w:sz="6" w:space="0"/>
              <w:bottom w:val="single" w:color="000000" w:sz="6" w:space="0"/>
              <w:right w:val="single" w:color="000000" w:sz="6" w:space="0"/>
            </w:tcBorders>
          </w:tcPr>
          <w:p>
            <w:pPr>
              <w:pStyle w:val="3"/>
              <w:spacing w:after="60" w:line="360" w:lineRule="auto"/>
              <w:rPr>
                <w:b/>
                <w:i/>
                <w:smallCaps/>
              </w:rPr>
            </w:pPr>
          </w:p>
        </w:tc>
      </w:tr>
      <w:tr>
        <w:tblPrEx>
          <w:tblLayout w:type="fixed"/>
        </w:tblPrEx>
        <w:trPr>
          <w:cantSplit/>
          <w:trHeight w:val="148" w:hRule="atLeast"/>
          <w:tblHeader/>
        </w:trPr>
        <w:tc>
          <w:tcPr>
            <w:tcW w:w="2048" w:type="dxa"/>
            <w:tcBorders>
              <w:top w:val="single" w:color="000000" w:sz="6" w:space="0"/>
              <w:left w:val="single" w:color="000000" w:sz="4"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rPr>
                <w:b/>
                <w:i/>
                <w:smallCaps/>
              </w:rPr>
            </w:pPr>
          </w:p>
        </w:tc>
        <w:tc>
          <w:tcPr>
            <w:tcW w:w="417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pPr>
              <w:pStyle w:val="3"/>
              <w:spacing w:after="60" w:line="360" w:lineRule="auto"/>
              <w:rPr>
                <w:b/>
                <w:i/>
                <w:smallCaps/>
              </w:rPr>
            </w:pPr>
          </w:p>
        </w:tc>
        <w:tc>
          <w:tcPr>
            <w:tcW w:w="3348" w:type="dxa"/>
            <w:tcBorders>
              <w:top w:val="single" w:color="000000" w:sz="6" w:space="0"/>
              <w:left w:val="single" w:color="000000" w:sz="6" w:space="0"/>
              <w:bottom w:val="single" w:color="000000" w:sz="6" w:space="0"/>
              <w:right w:val="single" w:color="000000" w:sz="6" w:space="0"/>
            </w:tcBorders>
          </w:tcPr>
          <w:p>
            <w:pPr>
              <w:pStyle w:val="3"/>
              <w:spacing w:after="60" w:line="360" w:lineRule="auto"/>
              <w:rPr>
                <w:b/>
                <w:i/>
                <w:smallCaps/>
              </w:rPr>
            </w:pPr>
          </w:p>
        </w:tc>
      </w:tr>
    </w:tbl>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before="120" w:after="120"/>
        <w:jc w:val="both"/>
        <w:rPr>
          <w:b/>
          <w:smallCaps/>
          <w:sz w:val="32"/>
          <w:szCs w:val="32"/>
        </w:rPr>
      </w:pPr>
      <w:bookmarkStart w:id="208" w:name="_2dvym10" w:colFirst="0" w:colLast="0"/>
      <w:bookmarkEnd w:id="208"/>
      <w:r>
        <w:rPr>
          <w:b/>
          <w:smallCaps/>
          <w:sz w:val="32"/>
          <w:szCs w:val="32"/>
        </w:rPr>
        <w:t>ANNEXEN°11</w:t>
      </w:r>
      <w:r>
        <w:rPr>
          <w:smallCaps/>
          <w:sz w:val="32"/>
          <w:szCs w:val="32"/>
        </w:rPr>
        <w:t xml:space="preserve"> : </w:t>
      </w:r>
      <w:r>
        <w:rPr>
          <w:b/>
          <w:smallCaps/>
          <w:sz w:val="32"/>
          <w:szCs w:val="32"/>
        </w:rPr>
        <w:t>MODÈLE DE CURRICULUM VITAE (CV) DU PERSONNEL SPÉCIALISÉ PROPOSÉ</w:t>
      </w:r>
    </w:p>
    <w:p>
      <w:pPr>
        <w:pStyle w:val="3"/>
        <w:widowControl w:val="0"/>
        <w:spacing w:after="60"/>
        <w:ind w:left="107" w:right="211"/>
        <w:jc w:val="both"/>
        <w:rPr>
          <w:b/>
          <w:i/>
          <w:smallCaps/>
        </w:rPr>
      </w:pPr>
      <w:r>
        <w:t xml:space="preserve">Poste : . . . . . . . . . . . . . . . . . . . . . . . . . . . . . . . . . . . . . . . . . . . . . . . . . . . . . . . . . . . . . . . . . . . . . . . . . . . . . . . . .  . . . . . . . . . . . . . . . . . . . . . . . . . . . . . . . . . . . . . . . . . . . . . . . . . . . . . . </w:t>
      </w:r>
    </w:p>
    <w:p>
      <w:pPr>
        <w:pStyle w:val="3"/>
        <w:widowControl w:val="0"/>
        <w:spacing w:after="60"/>
        <w:ind w:left="107" w:right="211"/>
        <w:jc w:val="both"/>
        <w:rPr>
          <w:b/>
          <w:i/>
          <w:smallCaps/>
        </w:rPr>
      </w:pPr>
      <w:r>
        <w:t xml:space="preserve">Nom du Candidat : . . . . . . . . . . . . . . . . . . . . . . . . . . . . . . . . . . . . . . . . . . . . . . . . . . . . . . . . . . . . . . . . . . . . . . . . . . . . . . . . . . . . . . . . . . . . . . . . . . . . . . . . . . . . . . . . . . . . . </w:t>
      </w:r>
    </w:p>
    <w:p>
      <w:pPr>
        <w:pStyle w:val="3"/>
        <w:widowControl w:val="0"/>
        <w:spacing w:after="60"/>
        <w:ind w:left="107" w:right="211"/>
        <w:jc w:val="both"/>
        <w:rPr>
          <w:b/>
          <w:i/>
          <w:smallCaps/>
        </w:rPr>
      </w:pPr>
      <w:r>
        <w:t>Nom de l’employé : . . . . . . . . . . . . . . . . . . . . . . . . . . . . . . . . . . . . . . . . . . . . . . . .  . . . . . . . . . . . . . . . . . . . . . . . . . . . . . . . . . . . . . . . . . . . . . . . . . . . . . . . . . . . . . . . . . . . .</w:t>
      </w:r>
    </w:p>
    <w:p>
      <w:pPr>
        <w:pStyle w:val="3"/>
        <w:widowControl w:val="0"/>
        <w:spacing w:after="60"/>
        <w:ind w:left="107" w:right="211"/>
        <w:jc w:val="both"/>
        <w:rPr>
          <w:b/>
          <w:i/>
          <w:smallCaps/>
        </w:rPr>
      </w:pPr>
      <w:r>
        <w:t xml:space="preserve"> Profession : . . . . . . . . . . . . . . . . . . . . . . . . . . . . . . . . . . . . . . . . . . . . . . . . . . . . . . . . . . . . . . . . . . . . . . . . . . . . . . . . . . . . . . . . . . . . . . . . . . . . . . . . . . . . . . . . . . . . . . . . . . . . . . </w:t>
      </w:r>
    </w:p>
    <w:p>
      <w:pPr>
        <w:pStyle w:val="3"/>
        <w:widowControl w:val="0"/>
        <w:spacing w:after="60"/>
        <w:ind w:left="107" w:right="211"/>
        <w:jc w:val="both"/>
        <w:rPr>
          <w:b/>
          <w:i/>
          <w:smallCaps/>
        </w:rPr>
      </w:pPr>
      <w:r>
        <w:t xml:space="preserve">Diplômes : . . . . . . . . . . . . . . . . . . . . . . . . . . . . . . . . . . . . . . . . . . . . . . . . . . . . . . . . . . . .. . . . . . . . . . . . . . . . . . . . . . . . . . . . . . . . . . . . . . . . . . . . . . . . . . . . . . . . . . . . . . . . . . . . . . . </w:t>
      </w:r>
    </w:p>
    <w:p>
      <w:pPr>
        <w:pStyle w:val="3"/>
        <w:widowControl w:val="0"/>
        <w:spacing w:after="60"/>
        <w:ind w:left="107" w:right="211"/>
        <w:jc w:val="both"/>
        <w:rPr>
          <w:b/>
          <w:i/>
          <w:smallCaps/>
        </w:rPr>
      </w:pPr>
      <w:r>
        <w:t xml:space="preserve">Date de naissance : . . . . . . . . . . . . . . . . . . . . . . . . . . . . . . . . . . . . . . . . . .  . . . . . . . . . . . . . . . . . . . . . . . . . . . . . . . . . . . . . . . . . . . . . . . . . . . . . . . . . . . . . . . . . . . . . . . . . </w:t>
      </w:r>
    </w:p>
    <w:p>
      <w:pPr>
        <w:pStyle w:val="3"/>
        <w:widowControl w:val="0"/>
        <w:spacing w:after="60"/>
        <w:ind w:left="107" w:right="211"/>
        <w:jc w:val="both"/>
        <w:rPr>
          <w:sz w:val="20"/>
          <w:szCs w:val="20"/>
        </w:rPr>
      </w:pPr>
      <w:r>
        <w:t xml:space="preserve">Nombre d’années d’emploi par le Candidat :................................ </w:t>
      </w:r>
    </w:p>
    <w:p>
      <w:pPr>
        <w:pStyle w:val="3"/>
        <w:widowControl w:val="0"/>
        <w:spacing w:after="60"/>
        <w:ind w:left="107" w:right="211"/>
        <w:jc w:val="both"/>
        <w:rPr>
          <w:b/>
          <w:i/>
          <w:smallCaps/>
        </w:rPr>
      </w:pPr>
      <w:r>
        <w:t xml:space="preserve">Nationalité : . . . . . . . .  . . . . . . . . . . . . . . . . . . . . . . . . . . </w:t>
      </w:r>
    </w:p>
    <w:p>
      <w:pPr>
        <w:pStyle w:val="3"/>
        <w:widowControl w:val="0"/>
        <w:spacing w:after="60"/>
        <w:ind w:left="107" w:right="211"/>
        <w:jc w:val="both"/>
        <w:rPr>
          <w:b/>
          <w:i/>
          <w:smallCaps/>
        </w:rPr>
      </w:pPr>
      <w:r>
        <w:t>Affiliation à des associations/groupements professionnels : . . . . . . . . . . . . . . . . . . . . . . . . . . . . . . . . . . . . . . . . . . . . . . . .. . . . . . . . . . . . . . . . . . . . . . . . . . . . . . . . . . . . . . . . . . . . . . . . . . . . . . . . . . . . . . . . . . . . . . . . . . . . . . . . . . . . . . . . . . . . . . . . . . . . . . . . . . . . . . . . . . . . . . . . . . . . . . . . . . . . . . . . . . . . . . . . . . . . . . . . . . . . . .</w:t>
      </w:r>
    </w:p>
    <w:p>
      <w:pPr>
        <w:pStyle w:val="3"/>
        <w:widowControl w:val="0"/>
        <w:spacing w:after="60"/>
        <w:ind w:left="107" w:right="-82"/>
        <w:rPr>
          <w:b/>
          <w:i/>
          <w:smallCaps/>
        </w:rPr>
      </w:pPr>
      <w:r>
        <w:t>Attributions spécifiques : . . . . . . . . . . . . . . . . . . . . . . . . . . . . . . . . . . . . . . . . . . . . . . . .  . . . . . . . . . . . . . . . . . . . . . . . . . . . . . . . . . . . . . . . . . . . . . . . . . . . . . . . . . . .</w:t>
      </w:r>
    </w:p>
    <w:p>
      <w:pPr>
        <w:pStyle w:val="3"/>
        <w:widowControl w:val="0"/>
        <w:spacing w:after="60"/>
        <w:ind w:left="205" w:right="-20"/>
        <w:rPr>
          <w:b/>
          <w:i/>
          <w:smallCaps/>
        </w:rPr>
      </w:pPr>
      <w:r>
        <w:t>. . . . . . . . . . . . . . . . . . . . . . . . . . . . . . . . . . . . . . . . . . . . . . . . . . . . . . . . . . . . . . . . . . . . . . . . . . . . . . . . . . . . . .  . . . . . . . . . . . . . . . . . . . . . . . . . . . . . . . . . . . . . . . . . . . . . . . . . . . . . . . . . . . .</w:t>
      </w:r>
    </w:p>
    <w:p>
      <w:pPr>
        <w:pStyle w:val="3"/>
        <w:widowControl w:val="0"/>
        <w:spacing w:after="60"/>
        <w:ind w:left="107" w:right="-20"/>
        <w:rPr>
          <w:b/>
          <w:i/>
          <w:smallCaps/>
        </w:rPr>
      </w:pPr>
      <w:r>
        <w:t>P</w:t>
      </w:r>
      <w:r>
        <w:rPr>
          <w:b/>
        </w:rPr>
        <w:t>rincipales qualifications :</w:t>
      </w:r>
    </w:p>
    <w:p>
      <w:pPr>
        <w:pStyle w:val="3"/>
        <w:widowControl w:val="0"/>
        <w:spacing w:after="60"/>
        <w:ind w:left="107"/>
        <w:rPr>
          <w:b/>
          <w:i/>
          <w:smallCaps/>
        </w:rPr>
      </w:pPr>
      <w:r>
        <w:rPr>
          <w:i/>
        </w:rPr>
        <w:t>[En une demi-page environ, donner un aperçu des aspects de la formation et de l’expérience de l’employé les plus utiles</w:t>
      </w:r>
    </w:p>
    <w:p>
      <w:pPr>
        <w:pStyle w:val="3"/>
        <w:widowControl w:val="0"/>
        <w:spacing w:after="60"/>
        <w:ind w:left="107" w:right="-164"/>
        <w:rPr>
          <w:b/>
          <w:i/>
          <w:smallCaps/>
        </w:rPr>
      </w:pPr>
      <w:r>
        <w:rPr>
          <w:i/>
        </w:rPr>
        <w:t>à ses attributions dans le cadre de la mission. Indiquer le niveau des responsabilités exercées par lui/elle lors de missions antérieures, en en précisant la date et le lieu.]</w:t>
      </w:r>
    </w:p>
    <w:p>
      <w:pPr>
        <w:pStyle w:val="3"/>
        <w:widowControl w:val="0"/>
        <w:spacing w:after="60"/>
        <w:ind w:left="205" w:right="-20"/>
        <w:rPr>
          <w:b/>
          <w:i/>
          <w:smallCaps/>
        </w:rPr>
      </w:pPr>
      <w:r>
        <w:t>. . . . . . . . . . . . . . . . . . . . . . . . . . . . . . . . . . . . . . . . . . . .. . . . . . . . . . . . . . . . . . . . . . . . . . . . . . . . . . . . . . . . . . . . . . . . . . . . . . . . . . . . . . . . . . . . . . . . . . . . . . . . . . . . . . . . . . . . . .</w:t>
      </w:r>
    </w:p>
    <w:p>
      <w:pPr>
        <w:pStyle w:val="3"/>
        <w:widowControl w:val="0"/>
        <w:spacing w:after="60"/>
        <w:ind w:left="107" w:right="-20"/>
        <w:rPr>
          <w:b/>
          <w:i/>
          <w:smallCaps/>
        </w:rPr>
      </w:pPr>
      <w:r>
        <w:rPr>
          <w:b/>
        </w:rPr>
        <w:t>Formation :</w:t>
      </w:r>
    </w:p>
    <w:p>
      <w:pPr>
        <w:pStyle w:val="3"/>
        <w:widowControl w:val="0"/>
        <w:spacing w:after="60"/>
        <w:ind w:left="107" w:right="82"/>
        <w:jc w:val="both"/>
        <w:rPr>
          <w:b/>
          <w:i/>
          <w:smallCaps/>
        </w:rPr>
      </w:pPr>
      <w:r>
        <w:t>[En un quart de page environ, résumer les études universitaires et autres études spécialisées de l’employé, en indiquant les noms et adresses des écoles ou universités fréquentées, avec les dates de fréquentation, ainsi que les diplômes obtenus.]</w:t>
      </w:r>
    </w:p>
    <w:p>
      <w:pPr>
        <w:pStyle w:val="3"/>
        <w:widowControl w:val="0"/>
        <w:spacing w:after="60"/>
        <w:ind w:left="107" w:right="-20"/>
        <w:rPr>
          <w:b/>
          <w:i/>
          <w:smallCaps/>
        </w:rPr>
      </w:pPr>
      <w:r>
        <w:rPr>
          <w:b/>
        </w:rPr>
        <w:t>Pièces Annexes :</w:t>
      </w:r>
    </w:p>
    <w:p>
      <w:pPr>
        <w:pStyle w:val="3"/>
        <w:widowControl w:val="0"/>
        <w:numPr>
          <w:ilvl w:val="0"/>
          <w:numId w:val="88"/>
        </w:numPr>
        <w:spacing w:after="60"/>
        <w:ind w:right="-213"/>
        <w:rPr>
          <w:sz w:val="20"/>
          <w:szCs w:val="20"/>
        </w:rPr>
      </w:pPr>
      <w:r>
        <w:t>Copie certifiée conforme du diplôme le plus élevé et éventuellement une attestation de l’ordre du corps de métier</w:t>
      </w:r>
    </w:p>
    <w:p>
      <w:pPr>
        <w:pStyle w:val="3"/>
        <w:widowControl w:val="0"/>
        <w:numPr>
          <w:ilvl w:val="0"/>
          <w:numId w:val="88"/>
        </w:numPr>
        <w:spacing w:after="60"/>
        <w:ind w:right="-20"/>
        <w:rPr>
          <w:sz w:val="20"/>
          <w:szCs w:val="20"/>
        </w:rPr>
      </w:pPr>
      <w:r>
        <w:t>Attestation de disponibilité</w:t>
      </w:r>
    </w:p>
    <w:p>
      <w:pPr>
        <w:pStyle w:val="3"/>
        <w:widowControl w:val="0"/>
        <w:spacing w:after="60"/>
        <w:ind w:left="205" w:right="-20"/>
        <w:rPr>
          <w:b/>
          <w:i/>
          <w:smallCaps/>
        </w:rPr>
      </w:pPr>
      <w:r>
        <w:t xml:space="preserve">. . . . . . . . . . . . . . . . . . . . . . . . . . . . . . . . . . . . . . . . . . . . . . . . . . . . . . . . . . . . . . . . . . . . . . . . . . . . . . . . . . . . . . . . . . . . . . . . . . . . . . . . . . . . . . . . . . . . . . . . . . . . . . . . . . . . . . . . . . </w:t>
      </w:r>
    </w:p>
    <w:p>
      <w:pPr>
        <w:pStyle w:val="3"/>
        <w:widowControl w:val="0"/>
        <w:spacing w:after="60"/>
        <w:ind w:left="107" w:right="-20"/>
        <w:rPr>
          <w:b/>
          <w:i/>
          <w:smallCaps/>
        </w:rPr>
      </w:pPr>
      <w:r>
        <w:rPr>
          <w:b/>
        </w:rPr>
        <w:t>Expérience professionnelle :</w:t>
      </w:r>
    </w:p>
    <w:p>
      <w:pPr>
        <w:pStyle w:val="3"/>
        <w:widowControl w:val="0"/>
        <w:spacing w:after="60"/>
        <w:ind w:left="107" w:right="82"/>
        <w:jc w:val="both"/>
        <w:rPr>
          <w:b/>
          <w:i/>
          <w:smallCaps/>
        </w:rPr>
      </w:pPr>
      <w: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pPr>
        <w:pStyle w:val="3"/>
        <w:widowControl w:val="0"/>
        <w:spacing w:after="60"/>
        <w:ind w:left="205" w:right="-20"/>
        <w:rPr>
          <w:b/>
          <w:i/>
          <w:smallCaps/>
        </w:rPr>
      </w:pPr>
      <w:r>
        <w:t xml:space="preserve">. . . . . . . . . . . . . . . . . . . . . . . . . . . . . . . . . . . . . . . . . . . . . . . . . . . . . . . . . . . . . . . . . . . . . . . . . . . . . . . . . . . . . . . . . . . . . . . . . . . . . . . . . . . . . . . . . . . . . . . . . . . . . . . . . . . . . . . . . . </w:t>
      </w:r>
    </w:p>
    <w:p>
      <w:pPr>
        <w:pStyle w:val="3"/>
        <w:widowControl w:val="0"/>
        <w:spacing w:after="60"/>
        <w:ind w:left="107" w:right="-20"/>
        <w:rPr>
          <w:b/>
          <w:i/>
          <w:smallCaps/>
        </w:rPr>
      </w:pPr>
      <w:r>
        <w:rPr>
          <w:b/>
        </w:rPr>
        <w:t>Connaissances informatiques :</w:t>
      </w:r>
    </w:p>
    <w:p>
      <w:pPr>
        <w:pStyle w:val="3"/>
        <w:widowControl w:val="0"/>
        <w:spacing w:after="60"/>
        <w:ind w:left="107" w:right="-20"/>
        <w:rPr>
          <w:b/>
          <w:i/>
          <w:smallCaps/>
        </w:rPr>
      </w:pPr>
      <w:r>
        <w:rPr>
          <w:i/>
        </w:rPr>
        <w:t>[Indiquer, le niveau de connaissance]</w:t>
      </w:r>
    </w:p>
    <w:p>
      <w:pPr>
        <w:pStyle w:val="3"/>
        <w:widowControl w:val="0"/>
        <w:spacing w:after="60"/>
        <w:ind w:left="205" w:right="-20"/>
        <w:rPr>
          <w:b/>
          <w:i/>
          <w:smallCaps/>
        </w:rPr>
      </w:pPr>
      <w:r>
        <w:t xml:space="preserve">. . . . . . . . . . . . . . . . . . . . . . . . . . . . . . . . . . . . . . . . . . . . . . . . . . . . . . . . . . . . . . . . . . . . . . . . . . . . . . . . . . . . . . . . . . . . . . . . . . . . . . . . . . . . . . . . . . . . . . . . . . . . . . . . . . . . . . . . . . </w:t>
      </w:r>
    </w:p>
    <w:p>
      <w:pPr>
        <w:pStyle w:val="3"/>
        <w:widowControl w:val="0"/>
        <w:spacing w:after="60"/>
        <w:ind w:left="107" w:right="-20"/>
        <w:rPr>
          <w:b/>
          <w:i/>
          <w:smallCaps/>
        </w:rPr>
      </w:pPr>
      <w:r>
        <w:rPr>
          <w:b/>
        </w:rPr>
        <w:t>Langues :</w:t>
      </w:r>
    </w:p>
    <w:p>
      <w:pPr>
        <w:pStyle w:val="3"/>
        <w:widowControl w:val="0"/>
        <w:spacing w:after="60"/>
        <w:ind w:left="107" w:right="-164"/>
        <w:rPr>
          <w:b/>
          <w:i/>
          <w:smallCaps/>
        </w:rPr>
      </w:pPr>
      <w:r>
        <w:rPr>
          <w:i/>
        </w:rPr>
        <w:t>[Indiquer, pour chacune, le niveau de connaissance : médiocre/moyen/ bon/excellent, en ce qui concerne la langue lue/écrite/ parlée.]</w:t>
      </w:r>
    </w:p>
    <w:p>
      <w:pPr>
        <w:pStyle w:val="3"/>
        <w:widowControl w:val="0"/>
        <w:spacing w:after="60"/>
        <w:ind w:left="205" w:right="-20"/>
        <w:rPr>
          <w:b/>
          <w:i/>
          <w:smallCaps/>
        </w:rPr>
      </w:pPr>
      <w:r>
        <w:t xml:space="preserve">. . . . . . . . . . . . . . . . . . . . . . . . . . . . . . . . . . . . . . . . . . . . . . . . . . . . . . . . . . . . . . . . . . . . . . . . . . . . . . . . . . . . . . . . . . . . . . . . . . . . . . . . . . . . . . . . . . . . . . . . . . . . . . . . . . . . . . . . . . </w:t>
      </w:r>
    </w:p>
    <w:p>
      <w:pPr>
        <w:pStyle w:val="3"/>
        <w:widowControl w:val="0"/>
        <w:spacing w:after="60"/>
        <w:ind w:left="107" w:right="-20"/>
        <w:rPr>
          <w:b/>
          <w:i/>
          <w:smallCaps/>
        </w:rPr>
      </w:pPr>
      <w:r>
        <w:rPr>
          <w:b/>
        </w:rPr>
        <w:t>Attestation :</w:t>
      </w:r>
    </w:p>
    <w:p>
      <w:pPr>
        <w:pStyle w:val="3"/>
        <w:widowControl w:val="0"/>
        <w:spacing w:after="60"/>
        <w:ind w:left="107" w:right="-214"/>
        <w:rPr>
          <w:b/>
          <w:i/>
          <w:smallCaps/>
        </w:rPr>
      </w:pPr>
      <w:r>
        <w:t>Je, soussigné, certifie, en toute conscience, que les renseignements ci-dessus rendent fidèlement compte de ma situation, de mes qualifications et de mon expérience.</w:t>
      </w:r>
    </w:p>
    <w:p>
      <w:pPr>
        <w:pStyle w:val="3"/>
        <w:widowControl w:val="0"/>
        <w:spacing w:after="60"/>
        <w:ind w:left="109" w:right="-81"/>
        <w:rPr>
          <w:b/>
          <w:i/>
          <w:smallCaps/>
        </w:rPr>
      </w:pPr>
      <w:r>
        <w:t>. . . . . . . . . . . . . . . . . . . . . . . . . . . . . . . . . . . . . . . . . . . . . . . . . . . . . . . . . . . . . . . . . . . . . . . . . . . . . . . . . . . . . . . . . . . . . . . . . . . . . .</w:t>
      </w:r>
    </w:p>
    <w:p>
      <w:pPr>
        <w:pStyle w:val="3"/>
        <w:widowControl w:val="0"/>
        <w:spacing w:after="60"/>
        <w:ind w:left="109" w:right="-81"/>
        <w:rPr>
          <w:b/>
          <w:i/>
          <w:smallCaps/>
        </w:rPr>
      </w:pPr>
      <w:r>
        <w:t xml:space="preserve"> Date : . . . . . . . . . . . . . . . . . . . . . . . . . . . . </w:t>
      </w:r>
    </w:p>
    <w:p>
      <w:pPr>
        <w:pStyle w:val="3"/>
        <w:widowControl w:val="0"/>
        <w:spacing w:after="60"/>
        <w:ind w:left="107" w:right="-20"/>
        <w:rPr>
          <w:b/>
          <w:i/>
          <w:smallCaps/>
        </w:rPr>
      </w:pPr>
      <w:r>
        <w:rPr>
          <w:i/>
        </w:rPr>
        <w:t>[Signature de l’employé et du représentant habilité du consultant]</w:t>
      </w:r>
    </w:p>
    <w:p>
      <w:pPr>
        <w:pStyle w:val="3"/>
        <w:widowControl w:val="0"/>
        <w:spacing w:after="60"/>
        <w:ind w:left="6910" w:right="-20"/>
        <w:rPr>
          <w:b/>
          <w:i/>
          <w:smallCaps/>
        </w:rPr>
      </w:pPr>
      <w:r>
        <w:rPr>
          <w:i/>
        </w:rPr>
        <w:t>Jour/mois/année</w:t>
      </w:r>
    </w:p>
    <w:p>
      <w:pPr>
        <w:pStyle w:val="3"/>
        <w:widowControl w:val="0"/>
        <w:spacing w:after="60"/>
        <w:ind w:left="107" w:right="-126"/>
        <w:rPr>
          <w:b/>
          <w:i/>
          <w:smallCaps/>
        </w:rPr>
      </w:pPr>
      <w:r>
        <w:t xml:space="preserve">Nom de l’employé : . . . . . . . . . . . . . . . . . . . . . . . . . . . . . . . . . . . . . . . . . . . . . . . . . . . . . . . . . . . . . . . . . . . . . . . . . . . . . . . . . . . . . . . . . . . . . . . . . . . . . . . . . . . . . </w:t>
      </w:r>
    </w:p>
    <w:p>
      <w:pPr>
        <w:pStyle w:val="3"/>
        <w:widowControl w:val="0"/>
        <w:spacing w:after="60"/>
        <w:ind w:left="107" w:right="-81"/>
        <w:rPr>
          <w:b/>
          <w:i/>
          <w:smallCaps/>
        </w:rPr>
      </w:pPr>
      <w:r>
        <w:t xml:space="preserve">Nom du représentant habilité : . . . . . . . . . . . . . . . . . . . . . . . . . . . . . . . . . . . . . . . . . . . . . . . . . . . . . . . . . . . . . . . . . . . . . . . . . . . . . . . . . . . . . . . . . . . </w:t>
      </w:r>
    </w:p>
    <w:p>
      <w:pPr>
        <w:pStyle w:val="3"/>
        <w:rPr>
          <w:b/>
          <w:i/>
          <w:smallCaps/>
        </w:rPr>
      </w:pPr>
      <w:r>
        <w:br w:type="textWrapping"/>
      </w:r>
    </w:p>
    <w:p>
      <w:pPr>
        <w:pStyle w:val="3"/>
        <w:rPr>
          <w:b/>
          <w:i/>
          <w:smallCaps/>
        </w:rPr>
      </w:pPr>
    </w:p>
    <w:p>
      <w:pPr>
        <w:pStyle w:val="3"/>
        <w:rPr>
          <w:b/>
          <w:i/>
          <w:smallCaps/>
        </w:rPr>
      </w:pPr>
    </w:p>
    <w:p>
      <w:pPr>
        <w:pStyle w:val="3"/>
        <w:rPr>
          <w:b/>
          <w:i/>
          <w:smallCaps/>
        </w:rPr>
      </w:pPr>
    </w:p>
    <w:p>
      <w:pPr>
        <w:pStyle w:val="3"/>
        <w:rPr>
          <w:b/>
          <w:i/>
          <w:smallCaps/>
        </w:rPr>
      </w:pPr>
    </w:p>
    <w:p>
      <w:pPr>
        <w:pStyle w:val="3"/>
        <w:rPr>
          <w:b/>
          <w:i/>
          <w:smallCaps/>
        </w:rPr>
      </w:pPr>
    </w:p>
    <w:p>
      <w:pPr>
        <w:pStyle w:val="3"/>
        <w:widowControl w:val="0"/>
        <w:spacing w:before="120" w:after="120" w:line="360" w:lineRule="auto"/>
        <w:ind w:right="-6"/>
        <w:jc w:val="center"/>
        <w:rPr>
          <w:b/>
          <w:smallCaps/>
          <w:color w:val="000000"/>
          <w:sz w:val="32"/>
          <w:szCs w:val="32"/>
        </w:rPr>
      </w:pPr>
      <w:bookmarkStart w:id="209" w:name="_t18w8t" w:colFirst="0" w:colLast="0"/>
      <w:bookmarkEnd w:id="209"/>
      <w:r>
        <w:rPr>
          <w:b/>
          <w:smallCaps/>
          <w:color w:val="000000"/>
          <w:sz w:val="32"/>
          <w:szCs w:val="32"/>
        </w:rPr>
        <w:t>ANNEXEN°12 :. RÉFÉRENCES DU CANDIDAT</w:t>
      </w:r>
    </w:p>
    <w:p>
      <w:pPr>
        <w:pStyle w:val="3"/>
        <w:widowControl w:val="0"/>
        <w:spacing w:before="60" w:after="60" w:line="360" w:lineRule="auto"/>
        <w:ind w:left="127" w:right="-194"/>
        <w:rPr>
          <w:b/>
          <w:i/>
          <w:smallCaps/>
        </w:rPr>
      </w:pPr>
      <w:r>
        <w:t>Services rendus pendant les [indiquer le nombre de 1 à 5] dernières années qui illustrent le mieux vos qualifications</w:t>
      </w:r>
    </w:p>
    <w:p>
      <w:pPr>
        <w:pStyle w:val="3"/>
        <w:widowControl w:val="0"/>
        <w:spacing w:before="60" w:after="60" w:line="360" w:lineRule="auto"/>
        <w:ind w:left="127" w:right="102"/>
        <w:jc w:val="both"/>
        <w:rPr>
          <w:b/>
          <w:i/>
          <w:smallCaps/>
        </w:rPr>
      </w:pPr>
      <w:r>
        <w:t>À l’aide du formulaire ci-dessous, indiquez les renseignements demandés pour chaque mission pertinente que votre société/organisme a obtenue par contrat, soit en tant que seule société, soit comme l’un des principaux partenaires d’un groupement.</w:t>
      </w:r>
    </w:p>
    <w:tbl>
      <w:tblPr>
        <w:tblStyle w:val="48"/>
        <w:tblW w:w="10141" w:type="dxa"/>
        <w:jc w:val="center"/>
        <w:tblInd w:w="0" w:type="dxa"/>
        <w:tblLayout w:type="fixed"/>
        <w:tblCellMar>
          <w:top w:w="0" w:type="dxa"/>
          <w:left w:w="0" w:type="dxa"/>
          <w:bottom w:w="0" w:type="dxa"/>
          <w:right w:w="0" w:type="dxa"/>
        </w:tblCellMar>
      </w:tblPr>
      <w:tblGrid>
        <w:gridCol w:w="5847"/>
        <w:gridCol w:w="4294"/>
      </w:tblGrid>
      <w:tr>
        <w:tblPrEx>
          <w:tblLayout w:type="fixed"/>
        </w:tblPrEx>
        <w:trPr>
          <w:cantSplit/>
          <w:trHeight w:val="475"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Nom de la Mission :</w:t>
            </w:r>
          </w:p>
        </w:tc>
        <w:tc>
          <w:tcPr>
            <w:tcW w:w="4294"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Pays :</w:t>
            </w:r>
          </w:p>
        </w:tc>
      </w:tr>
      <w:tr>
        <w:tblPrEx>
          <w:tblLayout w:type="fixed"/>
        </w:tblPrEx>
        <w:trPr>
          <w:cantSplit/>
          <w:trHeight w:val="651"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Lieu :</w:t>
            </w:r>
          </w:p>
        </w:tc>
        <w:tc>
          <w:tcPr>
            <w:tcW w:w="4294"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Personnel spécialisé fourni par votre société/organisme (profils) :</w:t>
            </w:r>
          </w:p>
        </w:tc>
      </w:tr>
      <w:tr>
        <w:tblPrEx>
          <w:tblLayout w:type="fixed"/>
        </w:tblPrEx>
        <w:trPr>
          <w:cantSplit/>
          <w:trHeight w:val="800"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p>
          <w:p>
            <w:pPr>
              <w:pStyle w:val="3"/>
              <w:widowControl w:val="0"/>
              <w:ind w:left="20" w:right="-20"/>
              <w:rPr>
                <w:b/>
                <w:i/>
                <w:smallCaps/>
              </w:rPr>
            </w:pPr>
            <w:r>
              <w:t>Nom du Client:</w:t>
            </w:r>
          </w:p>
        </w:tc>
        <w:tc>
          <w:tcPr>
            <w:tcW w:w="4294"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Nombre d’employés ayant participé à la Mission :</w:t>
            </w:r>
          </w:p>
        </w:tc>
      </w:tr>
      <w:tr>
        <w:tblPrEx>
          <w:tblLayout w:type="fixed"/>
        </w:tblPrEx>
        <w:trPr>
          <w:cantSplit/>
          <w:trHeight w:val="601"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Adresse :</w:t>
            </w:r>
          </w:p>
        </w:tc>
        <w:tc>
          <w:tcPr>
            <w:tcW w:w="4294" w:type="dxa"/>
            <w:vMerge w:val="restart"/>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Nombre de mois de travail ;</w:t>
            </w:r>
          </w:p>
          <w:p>
            <w:pPr>
              <w:pStyle w:val="3"/>
              <w:widowControl w:val="0"/>
              <w:ind w:left="20" w:right="-20"/>
              <w:rPr>
                <w:b/>
                <w:i/>
                <w:smallCaps/>
              </w:rPr>
            </w:pPr>
            <w:r>
              <w:t>durée de la Mission :</w:t>
            </w:r>
          </w:p>
        </w:tc>
      </w:tr>
      <w:tr>
        <w:tblPrEx>
          <w:tblLayout w:type="fixed"/>
        </w:tblPrEx>
        <w:trPr>
          <w:cantSplit/>
          <w:trHeight w:val="560"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p>
          <w:p>
            <w:pPr>
              <w:pStyle w:val="3"/>
              <w:widowControl w:val="0"/>
              <w:ind w:left="20" w:right="-20"/>
              <w:rPr>
                <w:b/>
                <w:i/>
                <w:smallCaps/>
              </w:rPr>
            </w:pPr>
            <w:r>
              <w:t>Délai :</w:t>
            </w:r>
          </w:p>
        </w:tc>
        <w:tc>
          <w:tcPr>
            <w:tcW w:w="4294" w:type="dxa"/>
            <w:vMerge w:val="continue"/>
            <w:tcBorders>
              <w:top w:val="single" w:color="221F1F" w:sz="4" w:space="0"/>
              <w:left w:val="single" w:color="221F1F" w:sz="4" w:space="0"/>
              <w:bottom w:val="single" w:color="221F1F" w:sz="4" w:space="0"/>
              <w:right w:val="single" w:color="221F1F" w:sz="4" w:space="0"/>
            </w:tcBorders>
            <w:vAlign w:val="center"/>
          </w:tcPr>
          <w:p>
            <w:pPr>
              <w:pStyle w:val="3"/>
              <w:widowControl w:val="0"/>
              <w:spacing w:line="276" w:lineRule="auto"/>
              <w:rPr>
                <w:b/>
                <w:i/>
                <w:smallCaps/>
              </w:rPr>
            </w:pPr>
          </w:p>
        </w:tc>
      </w:tr>
      <w:tr>
        <w:tblPrEx>
          <w:tblLayout w:type="fixed"/>
        </w:tblPrEx>
        <w:trPr>
          <w:cantSplit/>
          <w:trHeight w:val="1067"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Date de démarrage :</w:t>
            </w:r>
            <w:r>
              <w:tab/>
            </w:r>
            <w:r>
              <w:t xml:space="preserve">                         Date d’achèvement :</w:t>
            </w:r>
          </w:p>
          <w:p>
            <w:pPr>
              <w:pStyle w:val="3"/>
              <w:widowControl w:val="0"/>
              <w:tabs>
                <w:tab w:val="left" w:pos="4020"/>
              </w:tabs>
              <w:ind w:left="300" w:right="-20"/>
              <w:rPr>
                <w:b/>
                <w:i/>
                <w:smallCaps/>
              </w:rPr>
            </w:pPr>
            <w:r>
              <w:rPr>
                <w:i/>
              </w:rPr>
              <w:t>(mois/année)</w:t>
            </w:r>
            <w:r>
              <w:rPr>
                <w:i/>
              </w:rPr>
              <w:tab/>
            </w:r>
            <w:r>
              <w:rPr>
                <w:i/>
              </w:rPr>
              <w:t>(mois/année)</w:t>
            </w:r>
          </w:p>
        </w:tc>
        <w:tc>
          <w:tcPr>
            <w:tcW w:w="4294"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Valeur approximative des services</w:t>
            </w:r>
          </w:p>
          <w:p>
            <w:pPr>
              <w:pStyle w:val="3"/>
              <w:widowControl w:val="0"/>
              <w:ind w:right="-20"/>
              <w:rPr>
                <w:b/>
                <w:i/>
                <w:smallCaps/>
              </w:rPr>
            </w:pPr>
            <w:r>
              <w:t>(en francs CFA HT) :</w:t>
            </w:r>
          </w:p>
        </w:tc>
      </w:tr>
      <w:tr>
        <w:tblPrEx>
          <w:tblLayout w:type="fixed"/>
        </w:tblPrEx>
        <w:trPr>
          <w:cantSplit/>
          <w:trHeight w:val="930" w:hRule="atLeast"/>
          <w:tblHeader/>
          <w:jc w:val="center"/>
        </w:trPr>
        <w:tc>
          <w:tcPr>
            <w:tcW w:w="5847"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Nom des prestataires associés/partenaires éventuels :</w:t>
            </w:r>
          </w:p>
        </w:tc>
        <w:tc>
          <w:tcPr>
            <w:tcW w:w="4294" w:type="dxa"/>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Nombre de mois de travail de spécialistes fournis par les prestataires associés :</w:t>
            </w:r>
          </w:p>
        </w:tc>
      </w:tr>
      <w:tr>
        <w:tblPrEx>
          <w:tblLayout w:type="fixed"/>
        </w:tblPrEx>
        <w:trPr>
          <w:cantSplit/>
          <w:trHeight w:val="859" w:hRule="atLeast"/>
          <w:tblHeader/>
          <w:jc w:val="center"/>
        </w:trPr>
        <w:tc>
          <w:tcPr>
            <w:tcW w:w="10141" w:type="dxa"/>
            <w:gridSpan w:val="2"/>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Nom et fonctions des responsables (Directeur/Coordinateur du projet, Responsable de l’équipe) :</w:t>
            </w:r>
          </w:p>
        </w:tc>
      </w:tr>
      <w:tr>
        <w:tblPrEx>
          <w:tblLayout w:type="fixed"/>
        </w:tblPrEx>
        <w:trPr>
          <w:cantSplit/>
          <w:trHeight w:val="701" w:hRule="atLeast"/>
          <w:tblHeader/>
          <w:jc w:val="center"/>
        </w:trPr>
        <w:tc>
          <w:tcPr>
            <w:tcW w:w="10141" w:type="dxa"/>
            <w:gridSpan w:val="2"/>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Descriptif du projet :</w:t>
            </w:r>
          </w:p>
        </w:tc>
      </w:tr>
      <w:tr>
        <w:tblPrEx>
          <w:tblLayout w:type="fixed"/>
        </w:tblPrEx>
        <w:trPr>
          <w:cantSplit/>
          <w:trHeight w:val="852" w:hRule="atLeast"/>
          <w:tblHeader/>
          <w:jc w:val="center"/>
        </w:trPr>
        <w:tc>
          <w:tcPr>
            <w:tcW w:w="10141" w:type="dxa"/>
            <w:gridSpan w:val="2"/>
            <w:tcBorders>
              <w:top w:val="single" w:color="221F1F" w:sz="4" w:space="0"/>
              <w:left w:val="single" w:color="221F1F" w:sz="4" w:space="0"/>
              <w:bottom w:val="single" w:color="221F1F" w:sz="4" w:space="0"/>
              <w:right w:val="single" w:color="221F1F" w:sz="4" w:space="0"/>
            </w:tcBorders>
            <w:vAlign w:val="center"/>
          </w:tcPr>
          <w:p>
            <w:pPr>
              <w:pStyle w:val="3"/>
              <w:widowControl w:val="0"/>
              <w:ind w:left="20" w:right="-20"/>
              <w:rPr>
                <w:b/>
                <w:i/>
                <w:smallCaps/>
              </w:rPr>
            </w:pPr>
            <w:r>
              <w:t>Description des services effectivement rendus par votre personnel :</w:t>
            </w:r>
          </w:p>
        </w:tc>
      </w:tr>
    </w:tbl>
    <w:p>
      <w:pPr>
        <w:pStyle w:val="3"/>
        <w:spacing w:before="60" w:after="60" w:line="360" w:lineRule="auto"/>
        <w:jc w:val="both"/>
        <w:rPr>
          <w:b/>
          <w:i/>
          <w:smallCaps/>
        </w:rPr>
      </w:pPr>
    </w:p>
    <w:p>
      <w:pPr>
        <w:pStyle w:val="3"/>
        <w:spacing w:before="60" w:after="60" w:line="360" w:lineRule="auto"/>
        <w:jc w:val="both"/>
        <w:rPr>
          <w:b/>
          <w:i/>
          <w:smallCaps/>
        </w:rPr>
      </w:pPr>
      <w:r>
        <w:t>Nom du candidat :</w:t>
      </w: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widowControl w:val="0"/>
        <w:spacing w:before="120" w:after="120" w:line="360" w:lineRule="auto"/>
        <w:ind w:right="-6"/>
        <w:jc w:val="center"/>
        <w:rPr>
          <w:b/>
          <w:smallCaps/>
          <w:color w:val="000000"/>
          <w:sz w:val="32"/>
          <w:szCs w:val="32"/>
        </w:rPr>
      </w:pPr>
      <w:bookmarkStart w:id="210" w:name="_3d0wewm" w:colFirst="0" w:colLast="0"/>
      <w:bookmarkEnd w:id="210"/>
      <w:r>
        <w:rPr>
          <w:b/>
          <w:smallCaps/>
          <w:color w:val="000000"/>
          <w:sz w:val="32"/>
          <w:szCs w:val="32"/>
        </w:rPr>
        <w:t>ANNEXEN°13. DESCRIPTIF DE LA MÉTHODOLOGIE ET DU PLAN DE TRAVAIL PROPOSÉS POUR ACCOMPLIR LA MISSION</w:t>
      </w:r>
    </w:p>
    <w:p>
      <w:pPr>
        <w:pStyle w:val="3"/>
        <w:spacing w:before="60" w:after="60" w:line="360" w:lineRule="auto"/>
        <w:jc w:val="both"/>
        <w:rPr>
          <w:i/>
          <w:sz w:val="20"/>
          <w:szCs w:val="20"/>
        </w:rPr>
      </w:pPr>
      <w:r>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pPr>
        <w:pStyle w:val="3"/>
        <w:numPr>
          <w:ilvl w:val="0"/>
          <w:numId w:val="89"/>
        </w:numPr>
        <w:spacing w:before="60" w:after="60" w:line="360" w:lineRule="auto"/>
        <w:jc w:val="both"/>
        <w:rPr>
          <w:i/>
          <w:sz w:val="20"/>
          <w:szCs w:val="20"/>
        </w:rPr>
      </w:pPr>
      <w:r>
        <w:rPr>
          <w:i/>
        </w:rPr>
        <w:t>Conception technique et méthodologie,</w:t>
      </w:r>
    </w:p>
    <w:p>
      <w:pPr>
        <w:pStyle w:val="3"/>
        <w:numPr>
          <w:ilvl w:val="0"/>
          <w:numId w:val="89"/>
        </w:numPr>
        <w:spacing w:before="60" w:after="60" w:line="360" w:lineRule="auto"/>
        <w:jc w:val="both"/>
        <w:rPr>
          <w:i/>
          <w:sz w:val="20"/>
          <w:szCs w:val="20"/>
        </w:rPr>
      </w:pPr>
      <w:r>
        <w:rPr>
          <w:i/>
        </w:rPr>
        <w:t>Plan de travail, et</w:t>
      </w:r>
    </w:p>
    <w:p>
      <w:pPr>
        <w:pStyle w:val="3"/>
        <w:numPr>
          <w:ilvl w:val="0"/>
          <w:numId w:val="89"/>
        </w:numPr>
        <w:spacing w:before="60" w:after="60" w:line="360" w:lineRule="auto"/>
        <w:jc w:val="both"/>
        <w:rPr>
          <w:i/>
          <w:sz w:val="20"/>
          <w:szCs w:val="20"/>
        </w:rPr>
      </w:pPr>
      <w:r>
        <w:rPr>
          <w:i/>
        </w:rPr>
        <w:t>Organisation et personnel</w:t>
      </w:r>
    </w:p>
    <w:p>
      <w:pPr>
        <w:pStyle w:val="3"/>
        <w:spacing w:before="60" w:after="60" w:line="360" w:lineRule="auto"/>
        <w:jc w:val="both"/>
        <w:rPr>
          <w:i/>
          <w:sz w:val="20"/>
          <w:szCs w:val="20"/>
        </w:rPr>
      </w:pPr>
      <w:r>
        <w:rPr>
          <w:i/>
        </w:rPr>
        <w:t>a)</w:t>
      </w:r>
      <w:r>
        <w:rPr>
          <w:i/>
        </w:rPr>
        <w:tab/>
      </w:r>
      <w:r>
        <w:rPr>
          <w:i/>
          <w:u w:val="single"/>
        </w:rPr>
        <w:t>Conception technique et méthodologie</w:t>
      </w:r>
      <w:r>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pPr>
        <w:pStyle w:val="3"/>
        <w:spacing w:before="60" w:after="60" w:line="360" w:lineRule="auto"/>
        <w:jc w:val="both"/>
        <w:rPr>
          <w:i/>
          <w:sz w:val="20"/>
          <w:szCs w:val="20"/>
        </w:rPr>
      </w:pPr>
      <w:r>
        <w:rPr>
          <w:i/>
        </w:rPr>
        <w:t xml:space="preserve">b) </w:t>
      </w:r>
      <w:r>
        <w:rPr>
          <w:i/>
        </w:rPr>
        <w:tab/>
      </w:r>
      <w:r>
        <w:rPr>
          <w:i/>
          <w:u w:val="single"/>
        </w:rPr>
        <w:t>Plan de travail</w:t>
      </w: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pPr>
        <w:pStyle w:val="3"/>
        <w:numPr>
          <w:ilvl w:val="0"/>
          <w:numId w:val="89"/>
        </w:numPr>
        <w:spacing w:before="60" w:after="60" w:line="360" w:lineRule="auto"/>
        <w:jc w:val="both"/>
        <w:rPr>
          <w:i/>
          <w:color w:val="000000"/>
          <w:sz w:val="22"/>
          <w:szCs w:val="22"/>
        </w:rPr>
      </w:pPr>
      <w:r>
        <w:rPr>
          <w:i/>
          <w:color w:val="000000"/>
          <w:sz w:val="22"/>
          <w:szCs w:val="22"/>
          <w:u w:val="single"/>
        </w:rPr>
        <w:t>Organisation et personnel</w:t>
      </w:r>
      <w:r>
        <w:rPr>
          <w:i/>
          <w:color w:val="000000"/>
          <w:sz w:val="22"/>
          <w:szCs w:val="22"/>
        </w:rPr>
        <w:t>, Dans ce chapitre, vous proposerez la structure et la composition de votre équipe. Vous donnerez la liste des principales disciplines représentées, le nom de l’expert responsable et une liste du personnel clé et d’appui proposé.</w:t>
      </w: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spacing w:before="60" w:after="60" w:line="360" w:lineRule="auto"/>
        <w:jc w:val="both"/>
        <w:rPr>
          <w:b/>
          <w:i/>
          <w:smallCaps/>
        </w:rPr>
      </w:pPr>
    </w:p>
    <w:p>
      <w:pPr>
        <w:pStyle w:val="3"/>
        <w:widowControl w:val="0"/>
        <w:spacing w:before="120" w:after="120" w:line="360" w:lineRule="auto"/>
        <w:ind w:right="-6"/>
        <w:jc w:val="center"/>
        <w:rPr>
          <w:b/>
          <w:smallCaps/>
          <w:color w:val="000000"/>
          <w:sz w:val="32"/>
          <w:szCs w:val="32"/>
        </w:rPr>
      </w:pPr>
      <w:bookmarkStart w:id="211" w:name="_1s66p4f" w:colFirst="0" w:colLast="0"/>
      <w:bookmarkEnd w:id="211"/>
      <w:r>
        <w:rPr>
          <w:b/>
          <w:smallCaps/>
          <w:color w:val="000000"/>
          <w:sz w:val="32"/>
          <w:szCs w:val="32"/>
        </w:rPr>
        <w:t xml:space="preserve">ANNEXEN°14 MODELE DE FICHE D’INFORMATION RELATIVE AU MATÉRIEL ESSENTIEL, LE CAS ÉCHÉANT  </w:t>
      </w:r>
    </w:p>
    <w:tbl>
      <w:tblPr>
        <w:tblStyle w:val="49"/>
        <w:tblW w:w="10709" w:type="dxa"/>
        <w:tblInd w:w="-339" w:type="dxa"/>
        <w:tblLayout w:type="fixed"/>
        <w:tblCellMar>
          <w:top w:w="0" w:type="dxa"/>
          <w:left w:w="0" w:type="dxa"/>
          <w:bottom w:w="0" w:type="dxa"/>
          <w:right w:w="0" w:type="dxa"/>
        </w:tblCellMar>
      </w:tblPr>
      <w:tblGrid>
        <w:gridCol w:w="567"/>
        <w:gridCol w:w="2081"/>
        <w:gridCol w:w="650"/>
        <w:gridCol w:w="1572"/>
        <w:gridCol w:w="1288"/>
        <w:gridCol w:w="1430"/>
        <w:gridCol w:w="1301"/>
        <w:gridCol w:w="1820"/>
      </w:tblGrid>
      <w:tr>
        <w:tblPrEx>
          <w:tblLayout w:type="fixed"/>
        </w:tblPrEx>
        <w:trPr>
          <w:cantSplit/>
          <w:trHeight w:val="990" w:hRule="atLeast"/>
          <w:tblHead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b/>
                <w:sz w:val="20"/>
                <w:szCs w:val="20"/>
              </w:rPr>
            </w:pPr>
            <w:bookmarkStart w:id="212" w:name="_4c5u7s8" w:colFirst="0" w:colLast="0"/>
            <w:bookmarkEnd w:id="212"/>
            <w:r>
              <w:rPr>
                <w:b/>
              </w:rPr>
              <w:t>N°</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b/>
                <w:sz w:val="20"/>
                <w:szCs w:val="20"/>
              </w:rPr>
            </w:pPr>
            <w:r>
              <w:rPr>
                <w:b/>
              </w:rPr>
              <w:t>Désignation et caractéristiques du matériel</w:t>
            </w: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rPr>
              <w:t>Age / Etat</w:t>
            </w: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rPr>
              <w:t>Nombre minimal Requis</w:t>
            </w:r>
          </w:p>
          <w:p>
            <w:pPr>
              <w:pStyle w:val="3"/>
              <w:jc w:val="center"/>
              <w:rPr>
                <w:b/>
                <w:i/>
                <w:smallCaps/>
              </w:rPr>
            </w:pPr>
            <w:r>
              <w:rPr>
                <w:i/>
              </w:rPr>
              <w:t>(colonne à remplir par le MO/MOD)</w:t>
            </w: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rPr>
              <w:t xml:space="preserve">Nombre disponible </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center"/>
              <w:rPr>
                <w:b/>
                <w:sz w:val="20"/>
                <w:szCs w:val="20"/>
              </w:rPr>
            </w:pPr>
            <w:r>
              <w:rPr>
                <w:b/>
              </w:rPr>
              <w:t>Propriétaire/</w:t>
            </w:r>
          </w:p>
          <w:p>
            <w:pPr>
              <w:pStyle w:val="3"/>
              <w:jc w:val="center"/>
              <w:rPr>
                <w:b/>
                <w:sz w:val="20"/>
                <w:szCs w:val="20"/>
              </w:rPr>
            </w:pPr>
            <w:r>
              <w:rPr>
                <w:b/>
              </w:rPr>
              <w:t>location</w:t>
            </w:r>
          </w:p>
        </w:tc>
        <w:tc>
          <w:tcPr>
            <w:tcW w:w="1301"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rPr>
              <w:t xml:space="preserve">Année d’obtention </w:t>
            </w: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3"/>
              <w:jc w:val="center"/>
              <w:rPr>
                <w:b/>
                <w:sz w:val="20"/>
                <w:szCs w:val="20"/>
              </w:rPr>
            </w:pPr>
            <w:r>
              <w:rPr>
                <w:b/>
              </w:rPr>
              <w:t xml:space="preserve">Justificatif </w:t>
            </w:r>
          </w:p>
        </w:tc>
      </w:tr>
      <w:tr>
        <w:tblPrEx>
          <w:tblLayout w:type="fixed"/>
        </w:tblPrEx>
        <w:trPr>
          <w:cantSplit/>
          <w:trHeight w:val="551" w:hRule="atLeast"/>
          <w:tblHead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t>1</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301"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r>
        <w:tblPrEx>
          <w:tblLayout w:type="fixed"/>
        </w:tblPrEx>
        <w:trPr>
          <w:cantSplit/>
          <w:trHeight w:val="551" w:hRule="atLeast"/>
          <w:tblHead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t>2</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301"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r>
        <w:tblPrEx>
          <w:tblLayout w:type="fixed"/>
        </w:tblPrEx>
        <w:trPr>
          <w:cantSplit/>
          <w:trHeight w:val="551" w:hRule="atLeast"/>
          <w:tblHead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t>…</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301"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r>
        <w:tblPrEx>
          <w:tblLayout w:type="fixed"/>
        </w:tblPrEx>
        <w:trPr>
          <w:cantSplit/>
          <w:trHeight w:val="564" w:hRule="atLeast"/>
          <w:tblHead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jc w:val="center"/>
              <w:rPr>
                <w:sz w:val="20"/>
                <w:szCs w:val="20"/>
              </w:rPr>
            </w:pPr>
            <w:r>
              <w:t>N</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rPr>
                <w:sz w:val="20"/>
                <w:szCs w:val="20"/>
              </w:rPr>
            </w:pPr>
          </w:p>
        </w:tc>
        <w:tc>
          <w:tcPr>
            <w:tcW w:w="65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288"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43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301"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c>
          <w:tcPr>
            <w:tcW w:w="1820" w:type="dxa"/>
            <w:tcBorders>
              <w:top w:val="single" w:color="000000" w:sz="4" w:space="0"/>
              <w:left w:val="single" w:color="000000" w:sz="4" w:space="0"/>
              <w:bottom w:val="single" w:color="000000" w:sz="4" w:space="0"/>
              <w:right w:val="single" w:color="000000" w:sz="4" w:space="0"/>
            </w:tcBorders>
            <w:vAlign w:val="center"/>
          </w:tcPr>
          <w:p>
            <w:pPr>
              <w:pStyle w:val="3"/>
              <w:rPr>
                <w:sz w:val="20"/>
                <w:szCs w:val="20"/>
              </w:rPr>
            </w:pPr>
          </w:p>
        </w:tc>
      </w:tr>
    </w:tbl>
    <w:p>
      <w:pPr>
        <w:pStyle w:val="3"/>
        <w:spacing w:before="60" w:after="60" w:line="360" w:lineRule="auto"/>
        <w:rPr>
          <w:i/>
          <w:sz w:val="20"/>
          <w:szCs w:val="20"/>
        </w:rPr>
      </w:pPr>
      <w:r>
        <w:rPr>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pPr>
        <w:pStyle w:val="3"/>
        <w:spacing w:before="60" w:after="60" w:line="360" w:lineRule="auto"/>
        <w:rPr>
          <w:b/>
          <w:i/>
          <w:smallCaps/>
        </w:rPr>
      </w:pPr>
      <w:r>
        <w:t>Note : Pour chaque matériel, joindre la copie certifiée de la facture ou de la carte grise, le cas échéant</w:t>
      </w:r>
    </w:p>
    <w:p>
      <w:pPr>
        <w:pStyle w:val="3"/>
        <w:spacing w:before="60" w:after="60" w:line="360" w:lineRule="auto"/>
        <w:rPr>
          <w:b/>
          <w:i/>
          <w:smallCaps/>
        </w:rPr>
      </w:pPr>
    </w:p>
    <w:p>
      <w:pPr>
        <w:pStyle w:val="3"/>
        <w:spacing w:before="60" w:after="60" w:line="360" w:lineRule="auto"/>
        <w:ind w:left="578" w:hanging="578"/>
        <w:rPr>
          <w:b/>
          <w:i/>
          <w:smallCaps/>
        </w:rPr>
      </w:pPr>
    </w:p>
    <w:p>
      <w:pPr>
        <w:pStyle w:val="3"/>
        <w:spacing w:before="60" w:after="60" w:line="360" w:lineRule="auto"/>
        <w:ind w:left="578" w:hanging="578"/>
        <w:rPr>
          <w:b/>
          <w:i/>
          <w:smallCaps/>
        </w:rPr>
      </w:pPr>
    </w:p>
    <w:p>
      <w:pPr>
        <w:pStyle w:val="3"/>
        <w:spacing w:before="60" w:after="60" w:line="360" w:lineRule="auto"/>
        <w:ind w:left="578" w:hanging="578"/>
        <w:rPr>
          <w:b/>
          <w:i/>
          <w:smallCaps/>
        </w:rPr>
      </w:pPr>
    </w:p>
    <w:p>
      <w:pPr>
        <w:pStyle w:val="3"/>
        <w:spacing w:before="60" w:after="60" w:line="360" w:lineRule="auto"/>
        <w:ind w:left="578" w:hanging="578"/>
      </w:pPr>
    </w:p>
    <w:p>
      <w:pPr>
        <w:pStyle w:val="3"/>
        <w:spacing w:before="60" w:after="60" w:line="360" w:lineRule="auto"/>
        <w:ind w:left="578" w:hanging="578"/>
      </w:pPr>
    </w:p>
    <w:p>
      <w:pPr>
        <w:pStyle w:val="3"/>
        <w:spacing w:before="60" w:after="60" w:line="360" w:lineRule="auto"/>
        <w:ind w:left="578" w:hanging="578"/>
      </w:pPr>
    </w:p>
    <w:p>
      <w:pPr>
        <w:pStyle w:val="3"/>
        <w:spacing w:before="60" w:after="60" w:line="360" w:lineRule="auto"/>
        <w:ind w:left="578" w:hanging="578"/>
      </w:pPr>
    </w:p>
    <w:p>
      <w:pPr>
        <w:pStyle w:val="3"/>
        <w:spacing w:before="60" w:after="60" w:line="360" w:lineRule="auto"/>
        <w:ind w:left="578" w:hanging="578"/>
      </w:pPr>
    </w:p>
    <w:p>
      <w:pPr>
        <w:pStyle w:val="3"/>
        <w:spacing w:before="60" w:after="60" w:line="360" w:lineRule="auto"/>
        <w:rPr>
          <w:b/>
          <w:i/>
          <w:smallCaps/>
        </w:rPr>
      </w:pPr>
      <w:bookmarkStart w:id="213" w:name="_2rb4i01" w:colFirst="0" w:colLast="0"/>
      <w:bookmarkEnd w:id="213"/>
      <w:r>
        <w:rPr>
          <w:b/>
          <w:smallCaps/>
          <w:color w:val="000000"/>
          <w:sz w:val="32"/>
          <w:szCs w:val="32"/>
        </w:rPr>
        <w:t>ANNEXE</w:t>
      </w:r>
      <w:r>
        <w:rPr>
          <w:b/>
          <w:smallCaps/>
          <w:color w:val="000000"/>
          <w:sz w:val="32"/>
          <w:szCs w:val="32"/>
        </w:rPr>
        <w:t xml:space="preserve"> </w:t>
      </w:r>
      <w:r>
        <w:rPr>
          <w:b/>
          <w:smallCaps/>
          <w:color w:val="000000"/>
          <w:sz w:val="32"/>
          <w:szCs w:val="32"/>
        </w:rPr>
        <w:t>N°15 MODÈLE DE DÉCLARATION SUR L'HONNEUR DE VISITE DU SITE</w:t>
      </w:r>
    </w:p>
    <w:p>
      <w:pPr>
        <w:pStyle w:val="3"/>
        <w:spacing w:before="60" w:after="60" w:line="360" w:lineRule="auto"/>
        <w:rPr>
          <w:b/>
          <w:i/>
          <w:smallCaps/>
        </w:rPr>
      </w:pPr>
      <w:r>
        <w:t>Je soussigné M.__________________________________________________________</w:t>
      </w:r>
    </w:p>
    <w:p>
      <w:pPr>
        <w:pStyle w:val="3"/>
        <w:spacing w:before="60" w:after="60" w:line="360" w:lineRule="auto"/>
        <w:rPr>
          <w:b/>
          <w:i/>
          <w:smallCaps/>
        </w:rPr>
      </w:pPr>
      <w:r>
        <w:t>Représentant l’Entreprise__________________________________________________</w:t>
      </w:r>
    </w:p>
    <w:p>
      <w:pPr>
        <w:pStyle w:val="3"/>
        <w:spacing w:before="60" w:after="60" w:line="360" w:lineRule="auto"/>
        <w:rPr>
          <w:b/>
          <w:i/>
          <w:smallCaps/>
        </w:rPr>
      </w:pPr>
      <w:r>
        <w:t>Reconnais avoir visité ce jour le ________ du mois de ______________de l’année_______</w:t>
      </w:r>
    </w:p>
    <w:p>
      <w:pPr>
        <w:pStyle w:val="3"/>
        <w:spacing w:before="60" w:after="60" w:line="360" w:lineRule="auto"/>
        <w:rPr>
          <w:b/>
          <w:i/>
          <w:smallCaps/>
        </w:rPr>
      </w:pPr>
      <w:r>
        <w:t>En compagnie de M._______________________________________________________</w:t>
      </w:r>
    </w:p>
    <w:p>
      <w:pPr>
        <w:pStyle w:val="3"/>
        <w:spacing w:before="60" w:after="60" w:line="360" w:lineRule="auto"/>
        <w:rPr>
          <w:b/>
          <w:i/>
          <w:smallCaps/>
        </w:rPr>
      </w:pPr>
      <w:r>
        <w:t xml:space="preserve"> Agissant en lieu et place de l’utilisateur, le site du Projet de ________________________________________________________________________________________________________________________________________________________</w:t>
      </w:r>
    </w:p>
    <w:p>
      <w:pPr>
        <w:pStyle w:val="3"/>
        <w:spacing w:before="60" w:after="60" w:line="360" w:lineRule="auto"/>
        <w:rPr>
          <w:b/>
          <w:i/>
          <w:smallCaps/>
        </w:rPr>
      </w:pPr>
      <w:r>
        <w:t>Pour lequel mon entreprise veut soumissionner.</w:t>
      </w:r>
    </w:p>
    <w:p>
      <w:pPr>
        <w:pStyle w:val="3"/>
        <w:spacing w:before="60" w:after="60" w:line="360" w:lineRule="auto"/>
        <w:rPr>
          <w:b/>
          <w:i/>
          <w:smallCaps/>
        </w:rPr>
      </w:pPr>
      <w:r>
        <w:t>M’étant rendu sur les lieux, les observations suivantes ont été relevées :</w:t>
      </w:r>
    </w:p>
    <w:p>
      <w:pPr>
        <w:pStyle w:val="3"/>
        <w:spacing w:before="60" w:after="60" w:line="360" w:lineRule="auto"/>
        <w:rPr>
          <w:b/>
          <w:i/>
          <w:smallCaps/>
        </w:rPr>
      </w:pPr>
      <w:r>
        <w:t>…………………………………………………………………………………………………………………………………………………………………………………………………………………………………………………………………………………………………………………………………………………………………………………………………………………………………………………………………………………………………………………………………………………………………………………………………………………………</w:t>
      </w:r>
    </w:p>
    <w:p>
      <w:pPr>
        <w:pStyle w:val="3"/>
        <w:spacing w:before="60" w:after="60" w:line="360" w:lineRule="auto"/>
        <w:rPr>
          <w:b/>
          <w:i/>
          <w:sz w:val="20"/>
          <w:szCs w:val="20"/>
        </w:rPr>
      </w:pPr>
      <w:r>
        <w:rPr>
          <w:b/>
          <w:i/>
        </w:rPr>
        <w:t>N.B : le prestataire doit soumettre pour chaque site de projet une déclaration de visite de site.</w:t>
      </w:r>
    </w:p>
    <w:p>
      <w:pPr>
        <w:pStyle w:val="3"/>
        <w:tabs>
          <w:tab w:val="center" w:pos="4536"/>
          <w:tab w:val="right" w:pos="9072"/>
        </w:tabs>
        <w:spacing w:before="60" w:after="60" w:line="360" w:lineRule="auto"/>
        <w:ind w:left="708"/>
        <w:jc w:val="center"/>
        <w:rPr>
          <w:b/>
          <w:i/>
          <w:smallCaps/>
        </w:rPr>
      </w:pPr>
      <w:r>
        <w:t xml:space="preserve">                                 Fait à ………………………., le …………………………</w:t>
      </w:r>
    </w:p>
    <w:p>
      <w:pPr>
        <w:pStyle w:val="3"/>
        <w:spacing w:before="60" w:after="60" w:line="360" w:lineRule="auto"/>
        <w:ind w:left="708"/>
        <w:rPr>
          <w:b/>
          <w:i/>
          <w:smallCaps/>
        </w:rPr>
      </w:pPr>
      <w:r>
        <w:t xml:space="preserve">                                             Le soumissionnaire</w:t>
      </w:r>
    </w:p>
    <w:p>
      <w:pPr>
        <w:pStyle w:val="3"/>
        <w:spacing w:before="60" w:after="60" w:line="360" w:lineRule="auto"/>
        <w:ind w:left="708"/>
        <w:jc w:val="center"/>
        <w:rPr>
          <w:b/>
          <w:i/>
          <w:smallCaps/>
        </w:rPr>
      </w:pPr>
      <w:r>
        <w:t>(Nom, prénom, signature et cachet)</w:t>
      </w:r>
    </w:p>
    <w:p>
      <w:pPr>
        <w:pStyle w:val="3"/>
        <w:spacing w:before="60" w:after="60" w:line="360" w:lineRule="auto"/>
        <w:ind w:left="578" w:hanging="578"/>
        <w:rPr>
          <w:b/>
          <w:i/>
          <w:smallCaps/>
        </w:rPr>
      </w:pPr>
    </w:p>
    <w:p>
      <w:pPr>
        <w:pStyle w:val="3"/>
        <w:widowControl w:val="0"/>
        <w:ind w:left="851" w:firstLine="1"/>
        <w:jc w:val="center"/>
        <w:rPr>
          <w:b/>
          <w:smallCaps/>
          <w:color w:val="000000"/>
          <w:sz w:val="36"/>
          <w:szCs w:val="36"/>
        </w:rPr>
      </w:pPr>
      <w:bookmarkStart w:id="214" w:name="_16ges7u" w:colFirst="0" w:colLast="0"/>
      <w:bookmarkEnd w:id="214"/>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ind w:left="851" w:firstLine="1"/>
        <w:jc w:val="center"/>
        <w:rPr>
          <w:b/>
          <w:smallCaps/>
          <w:color w:val="000000"/>
          <w:sz w:val="36"/>
          <w:szCs w:val="36"/>
        </w:rPr>
      </w:pPr>
    </w:p>
    <w:p>
      <w:pPr>
        <w:pStyle w:val="3"/>
        <w:widowControl w:val="0"/>
        <w:rPr>
          <w:b/>
          <w:smallCaps/>
          <w:color w:val="000000"/>
          <w:sz w:val="36"/>
          <w:szCs w:val="36"/>
        </w:rPr>
      </w:pPr>
    </w:p>
    <w:p>
      <w:pPr>
        <w:pStyle w:val="3"/>
        <w:widowControl w:val="0"/>
        <w:ind w:left="851" w:firstLine="1"/>
        <w:jc w:val="center"/>
        <w:rPr>
          <w:b/>
          <w:smallCaps/>
          <w:color w:val="000000"/>
          <w:sz w:val="36"/>
          <w:szCs w:val="36"/>
        </w:rPr>
      </w:pPr>
      <w:r>
        <w:rPr>
          <w:b/>
          <w:smallCaps/>
          <w:color w:val="000000"/>
          <w:sz w:val="36"/>
          <w:szCs w:val="36"/>
        </w:rPr>
        <w:t xml:space="preserve">PIECE N°11 </w:t>
      </w:r>
    </w:p>
    <w:p>
      <w:pPr>
        <w:pStyle w:val="3"/>
        <w:widowControl w:val="0"/>
        <w:ind w:left="851" w:firstLine="1"/>
        <w:jc w:val="center"/>
        <w:rPr>
          <w:b/>
          <w:smallCaps/>
          <w:color w:val="000000"/>
          <w:sz w:val="36"/>
          <w:szCs w:val="36"/>
        </w:rPr>
      </w:pPr>
      <w:r>
        <w:rPr>
          <w:b/>
          <w:smallCaps/>
          <w:color w:val="000000"/>
          <w:sz w:val="36"/>
          <w:szCs w:val="36"/>
        </w:rPr>
        <w:t>CHARTE D’INTÉGRITÉ</w:t>
      </w: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spacing w:line="360" w:lineRule="auto"/>
        <w:rPr>
          <w:b/>
          <w:i/>
          <w:smallCaps/>
        </w:rPr>
      </w:pPr>
      <w:r>
        <w:br w:type="textWrapping"/>
      </w:r>
    </w:p>
    <w:p>
      <w:pPr>
        <w:pStyle w:val="3"/>
        <w:pageBreakBefore/>
        <w:spacing w:line="360" w:lineRule="auto"/>
        <w:rPr>
          <w:b/>
          <w:sz w:val="20"/>
          <w:szCs w:val="20"/>
        </w:rPr>
      </w:pPr>
    </w:p>
    <w:p>
      <w:pPr>
        <w:pStyle w:val="3"/>
        <w:widowControl w:val="0"/>
        <w:spacing w:line="360" w:lineRule="auto"/>
        <w:jc w:val="center"/>
        <w:rPr>
          <w:b/>
          <w:smallCaps/>
          <w:color w:val="000000"/>
          <w:sz w:val="32"/>
          <w:szCs w:val="32"/>
        </w:rPr>
      </w:pPr>
      <w:r>
        <w:rPr>
          <w:b/>
          <w:smallCaps/>
          <w:color w:val="000000"/>
          <w:sz w:val="32"/>
          <w:szCs w:val="32"/>
        </w:rPr>
        <w:t>CHARTE D’INTÉGRITÉ</w:t>
      </w:r>
    </w:p>
    <w:p>
      <w:pPr>
        <w:pStyle w:val="3"/>
        <w:spacing w:after="120" w:line="360" w:lineRule="auto"/>
        <w:jc w:val="both"/>
        <w:rPr>
          <w:color w:val="000000"/>
          <w:sz w:val="22"/>
          <w:szCs w:val="22"/>
        </w:rPr>
      </w:pPr>
      <w:r>
        <w:rPr>
          <w:b/>
          <w:color w:val="000000"/>
        </w:rPr>
        <w:t>INTITULE DE L’APPEL D’OFFRES :</w:t>
      </w:r>
      <w:r>
        <w:rPr>
          <w:b/>
          <w:color w:val="000000"/>
        </w:rPr>
        <w:tab/>
      </w:r>
      <w:r>
        <w:rPr>
          <w:color w:val="000000"/>
          <w:sz w:val="22"/>
          <w:szCs w:val="22"/>
        </w:rPr>
        <w:t>______________________________________ _</w:t>
      </w:r>
    </w:p>
    <w:p>
      <w:pPr>
        <w:pStyle w:val="3"/>
        <w:spacing w:line="360" w:lineRule="auto"/>
        <w:rPr>
          <w:b/>
          <w:sz w:val="20"/>
          <w:szCs w:val="20"/>
        </w:rPr>
      </w:pPr>
      <w:r>
        <w:rPr>
          <w:b/>
        </w:rPr>
        <w:t>LE « …….SOUMISSIONNAIRE…… » s’engage à respecter les termes de la présente charte d’intégrité</w:t>
      </w:r>
    </w:p>
    <w:p>
      <w:pPr>
        <w:pStyle w:val="3"/>
        <w:spacing w:line="360" w:lineRule="auto"/>
        <w:rPr>
          <w:b/>
          <w:i/>
          <w:smallCaps/>
        </w:rPr>
      </w:pPr>
      <w:r>
        <w:tab/>
      </w:r>
      <w:r>
        <w:tab/>
      </w:r>
      <w:r>
        <w:t xml:space="preserve">                                                                                                          </w:t>
      </w:r>
      <w:r>
        <w:rPr>
          <w:b/>
        </w:rPr>
        <w:t>A</w:t>
      </w:r>
      <w:r>
        <w:rPr>
          <w:b/>
        </w:rPr>
        <w:tab/>
      </w:r>
      <w:r>
        <w:rPr>
          <w:b/>
        </w:rPr>
        <w:tab/>
      </w:r>
      <w:r>
        <w:rPr>
          <w:b/>
        </w:rPr>
        <w:tab/>
      </w:r>
      <w:r>
        <w:rPr>
          <w:b/>
        </w:rPr>
        <w:tab/>
      </w:r>
      <w:r>
        <w:rPr>
          <w:b/>
        </w:rPr>
        <w:tab/>
      </w:r>
      <w:r>
        <w:rPr>
          <w:b/>
        </w:rPr>
        <w:tab/>
      </w:r>
      <w:r>
        <w:rPr>
          <w:b/>
        </w:rPr>
        <w:tab/>
      </w:r>
      <w:r>
        <w:rPr>
          <w:b/>
        </w:rPr>
        <w:tab/>
      </w:r>
      <w:r>
        <w:rPr>
          <w:b/>
        </w:rPr>
        <w:t xml:space="preserve"> MONSIEUR</w:t>
      </w:r>
      <w:r>
        <w:t xml:space="preserve"> L</w:t>
      </w:r>
      <w:r>
        <w:rPr>
          <w:b/>
        </w:rPr>
        <w:t>E «</w:t>
      </w:r>
      <w:r>
        <w:t> </w:t>
      </w:r>
      <w:r>
        <w:rPr>
          <w:b/>
        </w:rPr>
        <w:t xml:space="preserve">MAITRE D’OUVRAGE </w:t>
      </w:r>
      <w:r>
        <w:t>»</w:t>
      </w:r>
    </w:p>
    <w:p>
      <w:pPr>
        <w:pStyle w:val="3"/>
        <w:spacing w:line="360" w:lineRule="auto"/>
        <w:jc w:val="both"/>
        <w:rPr>
          <w:sz w:val="10"/>
          <w:szCs w:val="10"/>
        </w:rPr>
      </w:pPr>
    </w:p>
    <w:p>
      <w:pPr>
        <w:pStyle w:val="3"/>
        <w:spacing w:line="360" w:lineRule="auto"/>
        <w:ind w:left="705" w:hanging="705"/>
        <w:jc w:val="both"/>
        <w:rPr>
          <w:b/>
          <w:i/>
          <w:smallCaps/>
        </w:rPr>
      </w:pPr>
      <w:r>
        <w:t>1.</w:t>
      </w:r>
      <w:r>
        <w:tab/>
      </w:r>
      <w:r>
        <w:t>Nous reconnaissons et attestons que nous ne sommes pas, et qu’aucun des membres de notre groupement et de nos sous-traitants n’est, dans l’un des cas suivants :</w:t>
      </w:r>
    </w:p>
    <w:p>
      <w:pPr>
        <w:pStyle w:val="3"/>
        <w:spacing w:line="360" w:lineRule="auto"/>
        <w:ind w:left="1416" w:hanging="711"/>
        <w:jc w:val="both"/>
        <w:rPr>
          <w:b/>
          <w:i/>
          <w:smallCaps/>
        </w:rPr>
      </w:pPr>
      <w:r>
        <w:t>1.1)</w:t>
      </w:r>
      <w:r>
        <w:tab/>
      </w:r>
      <w:r>
        <w:t>être en état ou avoir fait l’objet d’une procédure de faillite, de liquidation, de règlement judiciaire,  de cessation d’activité ou être dans toute situation analogue résultant d’une procédure de même nature ;</w:t>
      </w:r>
    </w:p>
    <w:p>
      <w:pPr>
        <w:pStyle w:val="3"/>
        <w:spacing w:line="360" w:lineRule="auto"/>
        <w:ind w:left="1416" w:hanging="711"/>
        <w:jc w:val="both"/>
        <w:rPr>
          <w:b/>
          <w:i/>
          <w:smallCaps/>
        </w:rPr>
      </w:pPr>
      <w:r>
        <w:t>1.5)</w:t>
      </w:r>
      <w:r>
        <w:tab/>
      </w:r>
      <w:r>
        <w:t>figurer sur les listes de sanctions financières adoptées par les Nations Unies et tout autre Partenaire Technique et Financier, le cadre de la passation ou de l’exécution d’un marché ; </w:t>
      </w:r>
    </w:p>
    <w:p>
      <w:pPr>
        <w:pStyle w:val="3"/>
        <w:spacing w:line="360" w:lineRule="auto"/>
        <w:ind w:left="1416" w:hanging="711"/>
        <w:jc w:val="both"/>
        <w:rPr>
          <w:b/>
          <w:i/>
          <w:smallCaps/>
        </w:rPr>
      </w:pPr>
      <w:r>
        <w:t>1.6)</w:t>
      </w:r>
      <w:r>
        <w:tab/>
      </w:r>
      <w:r>
        <w:t>avoir produit de fausses informations ou fourni de faux documents exigés dans le cadre de la présente consultation.</w:t>
      </w:r>
    </w:p>
    <w:p>
      <w:pPr>
        <w:pStyle w:val="3"/>
        <w:spacing w:line="360" w:lineRule="auto"/>
        <w:ind w:left="1416" w:hanging="711"/>
        <w:jc w:val="both"/>
        <w:rPr>
          <w:sz w:val="10"/>
          <w:szCs w:val="10"/>
        </w:rPr>
      </w:pPr>
    </w:p>
    <w:p>
      <w:pPr>
        <w:pStyle w:val="3"/>
        <w:spacing w:line="360" w:lineRule="auto"/>
        <w:ind w:left="705" w:hanging="705"/>
        <w:rPr>
          <w:b/>
          <w:i/>
          <w:smallCaps/>
        </w:rPr>
      </w:pPr>
      <w:r>
        <w:t>2.</w:t>
      </w:r>
      <w:r>
        <w:tab/>
      </w:r>
      <w:r>
        <w:t xml:space="preserve">Nous </w:t>
      </w:r>
      <w:r>
        <w:tab/>
      </w:r>
      <w:r>
        <w:t>attestons que nous ne sommes pas, et qu’aucun des membres de notre groupement et de nos sous-traitants n’est, dans l’une des situations de conflit d’intérêt suivantes :</w:t>
      </w:r>
    </w:p>
    <w:p>
      <w:pPr>
        <w:pStyle w:val="3"/>
        <w:spacing w:line="360" w:lineRule="auto"/>
        <w:ind w:left="1416" w:hanging="711"/>
        <w:jc w:val="both"/>
        <w:rPr>
          <w:b/>
          <w:i/>
          <w:smallCaps/>
        </w:rPr>
      </w:pPr>
      <w:r>
        <w:t>2.1)</w:t>
      </w:r>
      <w:r>
        <w:tab/>
      </w:r>
      <w:r>
        <w:t>actionnaire contrôlant le Maître d’Ouvrage ou filiale contrôlées par le Maître d’Ouvrage, à moins que le conflit en découlant ait été porté à la connaissance de l’Autorité chargé des marchés publics et résolu à sa satisfaction ;</w:t>
      </w:r>
    </w:p>
    <w:p>
      <w:pPr>
        <w:pStyle w:val="3"/>
        <w:spacing w:line="360" w:lineRule="auto"/>
        <w:ind w:left="1416" w:hanging="711"/>
        <w:jc w:val="both"/>
        <w:rPr>
          <w:b/>
          <w:i/>
          <w:smallCaps/>
        </w:rPr>
      </w:pPr>
      <w:r>
        <w:t>2.2)</w:t>
      </w:r>
      <w:r>
        <w:tab/>
      </w:r>
      <w: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pPr>
        <w:pStyle w:val="3"/>
        <w:spacing w:line="360" w:lineRule="auto"/>
        <w:ind w:left="1416" w:hanging="711"/>
        <w:jc w:val="both"/>
        <w:rPr>
          <w:b/>
          <w:i/>
          <w:smallCaps/>
        </w:rPr>
      </w:pPr>
      <w:r>
        <w:t>2.3)</w:t>
      </w:r>
      <w:r>
        <w:tab/>
      </w:r>
      <w: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pPr>
        <w:pStyle w:val="3"/>
        <w:spacing w:line="360" w:lineRule="auto"/>
        <w:ind w:left="1416" w:hanging="711"/>
        <w:jc w:val="both"/>
        <w:rPr>
          <w:b/>
          <w:i/>
          <w:smallCaps/>
        </w:rPr>
      </w:pPr>
      <w:r>
        <w:t>2.4)</w:t>
      </w:r>
      <w:r>
        <w:tab/>
      </w:r>
      <w:r>
        <w:t>être engagé pour une mission de conseil qui, par sa nature, risque de s’avérer incompatible avec nos obligations vis à vis du Maître d’Ouvrage ;</w:t>
      </w:r>
    </w:p>
    <w:p>
      <w:pPr>
        <w:pStyle w:val="3"/>
        <w:spacing w:line="360" w:lineRule="auto"/>
        <w:ind w:left="1416" w:hanging="711"/>
        <w:jc w:val="both"/>
        <w:rPr>
          <w:b/>
          <w:i/>
          <w:smallCaps/>
        </w:rPr>
      </w:pPr>
      <w:r>
        <w:t>2 .5)</w:t>
      </w:r>
      <w:r>
        <w:tab/>
      </w:r>
      <w:r>
        <w:t>dans le cas d’une procédure ayant pour objet la passation d’un marché de travaux ou de fournitures :</w:t>
      </w:r>
    </w:p>
    <w:p>
      <w:pPr>
        <w:pStyle w:val="3"/>
        <w:spacing w:line="360" w:lineRule="auto"/>
        <w:ind w:left="2832" w:hanging="701"/>
        <w:jc w:val="both"/>
        <w:rPr>
          <w:b/>
          <w:i/>
          <w:smallCaps/>
        </w:rPr>
      </w:pPr>
      <w:r>
        <w:t>i)</w:t>
      </w:r>
      <w:r>
        <w:tab/>
      </w:r>
      <w:r>
        <w:t>avoir préparé nous-mêmes ou avoir été associés à un consultant qui a préparé des spécifications, plan, calculs et autres documents utilisés dans le cadre du processus de mise en concurrence considérée ;</w:t>
      </w:r>
    </w:p>
    <w:p>
      <w:pPr>
        <w:pStyle w:val="3"/>
        <w:spacing w:line="360" w:lineRule="auto"/>
        <w:ind w:left="2832" w:hanging="701"/>
        <w:jc w:val="both"/>
        <w:rPr>
          <w:b/>
          <w:i/>
          <w:smallCaps/>
        </w:rPr>
      </w:pPr>
      <w:r>
        <w:t>ii)</w:t>
      </w:r>
      <w:r>
        <w:tab/>
      </w:r>
      <w:r>
        <w:t>être nous-mêmes ou l’une des firmes auxquelles nous sommes affiliées, recrutés, ou devant l’être, par le Maître d’Ouvrage pour effectuer la supervision où le contrôle des travaux dans le cadre du Marché.</w:t>
      </w:r>
    </w:p>
    <w:p>
      <w:pPr>
        <w:pStyle w:val="3"/>
        <w:spacing w:line="360" w:lineRule="auto"/>
        <w:ind w:left="705" w:hanging="705"/>
        <w:jc w:val="both"/>
        <w:rPr>
          <w:b/>
          <w:i/>
          <w:smallCaps/>
        </w:rPr>
      </w:pPr>
      <w:r>
        <w:t>3.</w:t>
      </w:r>
      <w:r>
        <w:tab/>
      </w:r>
      <w:r>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pPr>
        <w:pStyle w:val="3"/>
        <w:spacing w:line="360" w:lineRule="auto"/>
        <w:ind w:left="705" w:hanging="705"/>
        <w:jc w:val="both"/>
        <w:rPr>
          <w:b/>
          <w:i/>
          <w:smallCaps/>
        </w:rPr>
      </w:pPr>
      <w:r>
        <w:t>4.</w:t>
      </w:r>
      <w:r>
        <w:tab/>
      </w:r>
      <w:r>
        <w:t>Nous nous engageons à communiquer sans délai au Maître d’Ouvrage, qui en informera l’Autorité chargé des Marchés Publics, tout changement de situation au regard des points 1 à 3 qui précèdent.</w:t>
      </w:r>
    </w:p>
    <w:p>
      <w:pPr>
        <w:pStyle w:val="3"/>
        <w:spacing w:line="360" w:lineRule="auto"/>
        <w:ind w:left="705" w:hanging="705"/>
        <w:rPr>
          <w:b/>
          <w:i/>
          <w:smallCaps/>
        </w:rPr>
      </w:pPr>
      <w:r>
        <w:t>5.</w:t>
      </w:r>
      <w:r>
        <w:tab/>
      </w:r>
      <w:r>
        <w:t>Dans le cadre de la passation et de l’exécution du Marché :</w:t>
      </w:r>
    </w:p>
    <w:p>
      <w:pPr>
        <w:pStyle w:val="3"/>
        <w:spacing w:line="360" w:lineRule="auto"/>
        <w:ind w:left="1416" w:hanging="711"/>
        <w:jc w:val="both"/>
        <w:rPr>
          <w:b/>
          <w:i/>
          <w:smallCaps/>
        </w:rPr>
      </w:pPr>
      <w:r>
        <w:t>5.1)</w:t>
      </w:r>
      <w:r>
        <w:tab/>
      </w:r>
      <w: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pStyle w:val="3"/>
        <w:spacing w:line="360" w:lineRule="auto"/>
        <w:ind w:left="1416" w:hanging="711"/>
        <w:jc w:val="both"/>
        <w:rPr>
          <w:b/>
          <w:i/>
          <w:smallCaps/>
        </w:rPr>
      </w:pPr>
      <w:r>
        <w:t>5.2)</w:t>
      </w:r>
      <w:r>
        <w:tab/>
      </w:r>
      <w:r>
        <w:t xml:space="preserve">Nous n’avons pas commis et nous ne commettrons pas de manœuvres déloyales (actions ou omission) contraires à nos obligations légales ou réglementaires et/ou violer ses règles internes afin d’obtenir un bénéfice illégitime. </w:t>
      </w:r>
    </w:p>
    <w:p>
      <w:pPr>
        <w:pStyle w:val="3"/>
        <w:spacing w:line="360" w:lineRule="auto"/>
        <w:ind w:left="1416" w:hanging="711"/>
        <w:jc w:val="both"/>
        <w:rPr>
          <w:b/>
          <w:i/>
          <w:smallCaps/>
        </w:rPr>
      </w:pPr>
      <w:r>
        <w:t>5.3)</w:t>
      </w:r>
      <w:r>
        <w:tab/>
      </w:r>
      <w: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pPr>
        <w:pStyle w:val="3"/>
        <w:spacing w:line="360" w:lineRule="auto"/>
        <w:ind w:left="1416" w:hanging="711"/>
        <w:jc w:val="both"/>
        <w:rPr>
          <w:b/>
          <w:i/>
          <w:smallCaps/>
        </w:rPr>
      </w:pPr>
      <w:r>
        <w:t>5.4)</w:t>
      </w:r>
      <w:r>
        <w:tab/>
      </w:r>
      <w: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pPr>
        <w:pStyle w:val="3"/>
        <w:spacing w:line="360" w:lineRule="auto"/>
        <w:ind w:left="1410" w:hanging="705"/>
        <w:jc w:val="both"/>
        <w:rPr>
          <w:b/>
          <w:i/>
          <w:smallCaps/>
        </w:rPr>
      </w:pPr>
      <w:r>
        <w:t>5.5)</w:t>
      </w:r>
      <w:r>
        <w:tab/>
      </w:r>
      <w: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pPr>
        <w:pStyle w:val="3"/>
        <w:spacing w:line="360" w:lineRule="auto"/>
        <w:ind w:left="1410" w:hanging="705"/>
        <w:jc w:val="both"/>
        <w:rPr>
          <w:b/>
          <w:i/>
          <w:smallCaps/>
        </w:rPr>
      </w:pPr>
      <w:r>
        <w:t>5.6)</w:t>
      </w:r>
      <w:r>
        <w:tab/>
      </w:r>
      <w: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pPr>
        <w:pStyle w:val="3"/>
        <w:spacing w:line="360" w:lineRule="auto"/>
        <w:ind w:left="1410" w:hanging="705"/>
        <w:jc w:val="both"/>
        <w:rPr>
          <w:b/>
          <w:i/>
          <w:smallCaps/>
        </w:rPr>
      </w:pPr>
      <w:r>
        <w:t>5.7)</w:t>
      </w:r>
      <w:r>
        <w:tab/>
      </w:r>
      <w:r>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pPr>
        <w:pStyle w:val="3"/>
        <w:spacing w:line="360" w:lineRule="auto"/>
        <w:ind w:left="709" w:hanging="709"/>
        <w:jc w:val="both"/>
        <w:rPr>
          <w:b/>
          <w:i/>
          <w:smallCaps/>
        </w:rPr>
      </w:pPr>
      <w:r>
        <w:t>6.</w:t>
      </w:r>
      <w:r>
        <w:tab/>
      </w:r>
      <w:r>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pPr>
        <w:pStyle w:val="3"/>
        <w:spacing w:line="360" w:lineRule="auto"/>
        <w:ind w:left="709" w:hanging="709"/>
        <w:jc w:val="both"/>
        <w:rPr>
          <w:sz w:val="10"/>
          <w:szCs w:val="10"/>
        </w:rPr>
      </w:pPr>
    </w:p>
    <w:p>
      <w:pPr>
        <w:pStyle w:val="3"/>
        <w:spacing w:line="360" w:lineRule="auto"/>
        <w:ind w:left="709" w:hanging="709"/>
        <w:jc w:val="both"/>
        <w:rPr>
          <w:b/>
          <w:i/>
          <w:smallCaps/>
        </w:rPr>
      </w:pPr>
      <w:r>
        <w:t>7.</w:t>
      </w:r>
      <w:r>
        <w:tab/>
      </w:r>
      <w:r>
        <w:t>Faute pour Nous, de nous conformer aux règles régissant la présente charte, nous reconnaissons que nous nous exposons aux sanctions prévues par les lois et règlements en vigueur.</w:t>
      </w:r>
    </w:p>
    <w:p>
      <w:pPr>
        <w:pStyle w:val="3"/>
        <w:spacing w:line="276" w:lineRule="auto"/>
        <w:ind w:left="1410" w:hanging="705"/>
        <w:jc w:val="both"/>
        <w:rPr>
          <w:b/>
          <w:i/>
          <w:smallCaps/>
        </w:rPr>
      </w:pPr>
      <w:r>
        <w:rPr>
          <w:b/>
        </w:rPr>
        <w:t>Nom</w:t>
      </w:r>
      <w:r>
        <w:rPr>
          <w:u w:val="single"/>
        </w:rPr>
        <w:tab/>
      </w:r>
      <w:r>
        <w:tab/>
      </w:r>
      <w:r>
        <w:tab/>
      </w:r>
      <w:r>
        <w:tab/>
      </w:r>
      <w:r>
        <w:tab/>
      </w:r>
      <w:r>
        <w:tab/>
      </w:r>
      <w:r>
        <w:tab/>
      </w:r>
      <w:r>
        <w:tab/>
      </w:r>
      <w:r>
        <w:tab/>
      </w:r>
      <w:r>
        <w:tab/>
      </w:r>
      <w:r>
        <w:tab/>
      </w:r>
      <w:r>
        <w:tab/>
      </w:r>
      <w:r>
        <w:tab/>
      </w:r>
      <w:r>
        <w:rPr>
          <w:sz w:val="10"/>
          <w:szCs w:val="10"/>
        </w:rPr>
        <w:tab/>
      </w:r>
      <w:r>
        <w:rPr>
          <w:sz w:val="18"/>
          <w:szCs w:val="18"/>
        </w:rPr>
        <w:tab/>
      </w:r>
      <w:r>
        <w:tab/>
      </w:r>
      <w:r>
        <w:tab/>
      </w:r>
      <w:r>
        <w:tab/>
      </w:r>
      <w:r>
        <w:tab/>
      </w:r>
      <w:r>
        <w:tab/>
      </w:r>
      <w:r>
        <w:tab/>
      </w:r>
      <w:r>
        <w:tab/>
      </w:r>
    </w:p>
    <w:p>
      <w:pPr>
        <w:pStyle w:val="3"/>
        <w:spacing w:line="276" w:lineRule="auto"/>
        <w:ind w:left="1410" w:hanging="705"/>
        <w:jc w:val="both"/>
        <w:rPr>
          <w:b/>
          <w:sz w:val="20"/>
          <w:szCs w:val="20"/>
        </w:rPr>
      </w:pPr>
      <w:r>
        <w:rPr>
          <w:b/>
        </w:rPr>
        <w:t>Signature</w:t>
      </w:r>
      <w:r>
        <w:rPr>
          <w:u w:val="single"/>
        </w:rPr>
        <w:tab/>
      </w:r>
      <w:r>
        <w:tab/>
      </w:r>
      <w:r>
        <w:tab/>
      </w:r>
      <w:r>
        <w:tab/>
      </w:r>
      <w:r>
        <w:tab/>
      </w:r>
      <w:r>
        <w:tab/>
      </w:r>
      <w:r>
        <w:tab/>
      </w:r>
      <w:r>
        <w:tab/>
      </w:r>
      <w:r>
        <w:tab/>
      </w:r>
      <w:r>
        <w:tab/>
      </w:r>
      <w:r>
        <w:tab/>
      </w:r>
    </w:p>
    <w:p>
      <w:pPr>
        <w:pStyle w:val="3"/>
        <w:spacing w:line="276" w:lineRule="auto"/>
        <w:ind w:left="1410" w:hanging="705"/>
        <w:jc w:val="both"/>
        <w:rPr>
          <w:b/>
          <w:i/>
          <w:smallCaps/>
        </w:rPr>
      </w:pPr>
      <w:r>
        <w:t>Dûment habilité à signer l’offre pour et au nom de :</w:t>
      </w:r>
      <w:r>
        <w:rPr>
          <w:u w:val="single"/>
        </w:rPr>
        <w:tab/>
      </w:r>
      <w:r>
        <w:tab/>
      </w:r>
      <w:r>
        <w:tab/>
      </w:r>
      <w:r>
        <w:tab/>
      </w:r>
      <w:r>
        <w:tab/>
      </w:r>
      <w:r>
        <w:tab/>
      </w:r>
    </w:p>
    <w:p>
      <w:pPr>
        <w:pStyle w:val="3"/>
        <w:widowControl w:val="0"/>
        <w:spacing w:line="276" w:lineRule="auto"/>
        <w:jc w:val="both"/>
        <w:rPr>
          <w:b/>
          <w:i/>
          <w:smallCaps/>
        </w:rPr>
      </w:pPr>
      <w:r>
        <w:rPr>
          <w:b/>
        </w:rPr>
        <w:t xml:space="preserve">             En date du</w:t>
      </w:r>
      <w:r>
        <w:t> </w:t>
      </w:r>
      <w:r>
        <w:rPr>
          <w:u w:val="single"/>
        </w:rPr>
        <w:tab/>
      </w:r>
      <w:r>
        <w:tab/>
      </w:r>
      <w:r>
        <w:tab/>
      </w:r>
      <w:r>
        <w:tab/>
      </w: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ind w:left="851" w:firstLine="1"/>
        <w:jc w:val="center"/>
        <w:rPr>
          <w:b/>
          <w:smallCaps/>
          <w:color w:val="000000"/>
          <w:sz w:val="36"/>
          <w:szCs w:val="36"/>
        </w:rPr>
      </w:pPr>
      <w:bookmarkStart w:id="215" w:name="_3qg2avn" w:colFirst="0" w:colLast="0"/>
      <w:bookmarkEnd w:id="215"/>
      <w:r>
        <w:rPr>
          <w:b/>
          <w:smallCaps/>
          <w:color w:val="000000"/>
          <w:sz w:val="36"/>
          <w:szCs w:val="36"/>
        </w:rPr>
        <w:t xml:space="preserve">PIECE N°12 </w:t>
      </w:r>
    </w:p>
    <w:p>
      <w:pPr>
        <w:pStyle w:val="3"/>
        <w:widowControl w:val="0"/>
        <w:ind w:left="851" w:firstLine="1"/>
        <w:jc w:val="center"/>
        <w:rPr>
          <w:b/>
          <w:smallCaps/>
          <w:color w:val="000000"/>
          <w:sz w:val="36"/>
          <w:szCs w:val="36"/>
        </w:rPr>
      </w:pPr>
      <w:r>
        <w:rPr>
          <w:b/>
          <w:smallCaps/>
          <w:color w:val="000000"/>
          <w:sz w:val="36"/>
          <w:szCs w:val="36"/>
        </w:rPr>
        <w:t>DÉCLARATION D’ENGAGEMENT AU RESPECT DES CLAUSES SOCIALES ET ENVIRONNEMENTALES</w:t>
      </w: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widowControl w:val="0"/>
        <w:tabs>
          <w:tab w:val="left" w:pos="10480"/>
        </w:tabs>
        <w:spacing w:line="360" w:lineRule="auto"/>
        <w:jc w:val="both"/>
        <w:rPr>
          <w:b/>
          <w:i/>
          <w:smallCaps/>
        </w:rPr>
      </w:pPr>
    </w:p>
    <w:p>
      <w:pPr>
        <w:pStyle w:val="3"/>
        <w:rPr>
          <w:b/>
          <w:i/>
          <w:smallCaps/>
        </w:rPr>
      </w:pPr>
      <w:r>
        <w:br w:type="textWrapping"/>
      </w:r>
    </w:p>
    <w:p>
      <w:pPr>
        <w:pStyle w:val="3"/>
        <w:pageBreakBefore/>
        <w:spacing w:line="360" w:lineRule="auto"/>
        <w:rPr>
          <w:b/>
          <w:sz w:val="20"/>
          <w:szCs w:val="20"/>
        </w:rPr>
      </w:pPr>
    </w:p>
    <w:p>
      <w:pPr>
        <w:pStyle w:val="3"/>
        <w:widowControl w:val="0"/>
        <w:jc w:val="center"/>
        <w:rPr>
          <w:b/>
          <w:smallCaps/>
          <w:color w:val="000000"/>
          <w:sz w:val="32"/>
          <w:szCs w:val="32"/>
        </w:rPr>
      </w:pPr>
      <w:r>
        <w:rPr>
          <w:b/>
          <w:smallCaps/>
          <w:color w:val="000000"/>
          <w:sz w:val="32"/>
          <w:szCs w:val="32"/>
        </w:rPr>
        <w:t>DÉCLARATION D’ENGAGEMENT ENVIRONNEMENTAL ET SOCIAL</w:t>
      </w:r>
    </w:p>
    <w:p>
      <w:pPr>
        <w:pStyle w:val="3"/>
        <w:spacing w:after="120"/>
        <w:jc w:val="both"/>
        <w:rPr>
          <w:color w:val="000000"/>
          <w:sz w:val="22"/>
          <w:szCs w:val="22"/>
        </w:rPr>
      </w:pPr>
      <w:r>
        <w:rPr>
          <w:b/>
          <w:color w:val="000000"/>
        </w:rPr>
        <w:t>INTITULE DE L’APPEL D’OFFRES :</w:t>
      </w:r>
      <w:r>
        <w:rPr>
          <w:b/>
          <w:color w:val="000000"/>
        </w:rPr>
        <w:tab/>
      </w:r>
      <w:r>
        <w:rPr>
          <w:color w:val="000000"/>
          <w:sz w:val="22"/>
          <w:szCs w:val="22"/>
        </w:rPr>
        <w:t xml:space="preserve">______________________________________ </w:t>
      </w:r>
    </w:p>
    <w:p>
      <w:pPr>
        <w:pStyle w:val="3"/>
        <w:jc w:val="center"/>
        <w:rPr>
          <w:i/>
          <w:color w:val="000000"/>
          <w:sz w:val="22"/>
          <w:szCs w:val="22"/>
        </w:rPr>
      </w:pPr>
      <w:r>
        <w:rPr>
          <w:i/>
          <w:color w:val="000000"/>
          <w:sz w:val="22"/>
          <w:szCs w:val="22"/>
        </w:rPr>
        <w:t>[ à préciser lors du montage du DAO]</w:t>
      </w:r>
    </w:p>
    <w:p>
      <w:pPr>
        <w:pStyle w:val="3"/>
        <w:rPr>
          <w:b/>
          <w:sz w:val="20"/>
          <w:szCs w:val="20"/>
        </w:rPr>
      </w:pPr>
      <w:r>
        <w:rPr>
          <w:b/>
        </w:rPr>
        <w:t>LE « …..SOUMISSIONNAIRE…… » s’engage à respecter les termes de la présente Déclaration d’engagement environnemental et social</w:t>
      </w:r>
    </w:p>
    <w:p>
      <w:pPr>
        <w:pStyle w:val="3"/>
        <w:rPr>
          <w:b/>
          <w:sz w:val="20"/>
          <w:szCs w:val="20"/>
        </w:rPr>
      </w:pPr>
    </w:p>
    <w:p>
      <w:pPr>
        <w:pStyle w:val="3"/>
        <w:jc w:val="both"/>
        <w:rPr>
          <w:b/>
          <w:i/>
          <w:smallCaps/>
        </w:rPr>
      </w:pPr>
      <w:r>
        <w:t xml:space="preserve">                                                                                                                                  A</w:t>
      </w:r>
      <w:r>
        <w:tab/>
      </w:r>
      <w:r>
        <w:tab/>
      </w:r>
      <w:r>
        <w:tab/>
      </w:r>
      <w:r>
        <w:tab/>
      </w:r>
      <w:r>
        <w:tab/>
      </w:r>
      <w:r>
        <w:tab/>
      </w:r>
      <w:r>
        <w:tab/>
      </w:r>
    </w:p>
    <w:p>
      <w:pPr>
        <w:pStyle w:val="3"/>
        <w:ind w:left="5040" w:firstLine="720"/>
        <w:jc w:val="both"/>
        <w:rPr>
          <w:b/>
          <w:i/>
          <w:smallCaps/>
        </w:rPr>
      </w:pPr>
      <w:r>
        <w:t>MONSIEUR LE « </w:t>
      </w:r>
      <w:r>
        <w:rPr>
          <w:b/>
        </w:rPr>
        <w:t>Maître d’Ouvrage</w:t>
      </w:r>
      <w:r>
        <w:t>»</w:t>
      </w:r>
    </w:p>
    <w:p>
      <w:pPr>
        <w:pStyle w:val="3"/>
        <w:ind w:left="567"/>
        <w:jc w:val="both"/>
        <w:rPr>
          <w:sz w:val="20"/>
          <w:szCs w:val="20"/>
        </w:rPr>
      </w:pPr>
      <w:r>
        <w:t>Dans le cadre de la passation et de l’exécution du Marché :</w:t>
      </w:r>
    </w:p>
    <w:p>
      <w:pPr>
        <w:pStyle w:val="3"/>
        <w:ind w:left="851" w:hanging="567"/>
        <w:jc w:val="both"/>
        <w:rPr>
          <w:sz w:val="20"/>
          <w:szCs w:val="20"/>
        </w:rPr>
      </w:pPr>
      <w:r>
        <w:t>1)</w:t>
      </w:r>
      <w:r>
        <w:tab/>
      </w:r>
      <w: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pPr>
        <w:pStyle w:val="3"/>
        <w:ind w:left="851" w:hanging="567"/>
        <w:jc w:val="both"/>
        <w:rPr>
          <w:sz w:val="20"/>
          <w:szCs w:val="20"/>
        </w:rPr>
      </w:pPr>
      <w:r>
        <w:t>2)</w:t>
      </w:r>
      <w:r>
        <w:tab/>
      </w:r>
      <w: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pPr>
        <w:pStyle w:val="3"/>
        <w:ind w:left="851" w:hanging="567"/>
        <w:jc w:val="both"/>
        <w:rPr>
          <w:sz w:val="20"/>
          <w:szCs w:val="20"/>
        </w:rPr>
      </w:pPr>
      <w:r>
        <w:t>3)</w:t>
      </w:r>
      <w:r>
        <w:tab/>
      </w:r>
      <w: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pPr>
        <w:pStyle w:val="3"/>
        <w:ind w:left="851" w:hanging="567"/>
        <w:jc w:val="both"/>
        <w:rPr>
          <w:sz w:val="20"/>
          <w:szCs w:val="20"/>
        </w:rPr>
      </w:pPr>
      <w:r>
        <w:t>4)</w:t>
      </w:r>
      <w:r>
        <w:tab/>
      </w:r>
      <w:r>
        <w:t>Faute pour nous, un des membres de notre groupement et de nos sous-traitants, de nous conformer aux règles régissant la présente charte, nous reconnaissons que nous exposons aux sanctions prévues par les lois et règlement en vigueur.</w:t>
      </w:r>
    </w:p>
    <w:p>
      <w:pPr>
        <w:pStyle w:val="3"/>
        <w:ind w:left="1410" w:hanging="705"/>
        <w:jc w:val="both"/>
        <w:rPr>
          <w:b/>
          <w:i/>
          <w:smallCaps/>
        </w:rPr>
      </w:pPr>
      <w:r>
        <w:rPr>
          <w:b/>
        </w:rPr>
        <w:t>Nom :</w:t>
      </w:r>
      <w:r>
        <w:rPr>
          <w:u w:val="single"/>
        </w:rPr>
        <w:tab/>
      </w:r>
      <w:r>
        <w:tab/>
      </w:r>
      <w:r>
        <w:tab/>
      </w:r>
      <w:r>
        <w:tab/>
      </w:r>
      <w:r>
        <w:tab/>
      </w:r>
      <w:r>
        <w:tab/>
      </w:r>
      <w:r>
        <w:tab/>
      </w:r>
      <w:r>
        <w:tab/>
      </w:r>
      <w:r>
        <w:tab/>
      </w:r>
      <w:r>
        <w:tab/>
      </w:r>
      <w:r>
        <w:tab/>
      </w:r>
      <w:r>
        <w:tab/>
      </w:r>
    </w:p>
    <w:p>
      <w:pPr>
        <w:pStyle w:val="3"/>
        <w:ind w:left="1410" w:hanging="705"/>
        <w:jc w:val="both"/>
        <w:rPr>
          <w:b/>
          <w:sz w:val="20"/>
          <w:szCs w:val="20"/>
        </w:rPr>
      </w:pPr>
      <w:r>
        <w:rPr>
          <w:b/>
        </w:rPr>
        <w:t>Signature</w:t>
      </w:r>
      <w:r>
        <w:rPr>
          <w:u w:val="single"/>
        </w:rPr>
        <w:t xml:space="preserve"> :  </w:t>
      </w:r>
      <w:r>
        <w:rPr>
          <w:u w:val="single"/>
        </w:rPr>
        <w:tab/>
      </w:r>
      <w:r>
        <w:tab/>
      </w:r>
      <w:r>
        <w:tab/>
      </w:r>
      <w:r>
        <w:tab/>
      </w:r>
      <w:r>
        <w:tab/>
      </w:r>
      <w:r>
        <w:tab/>
      </w:r>
      <w:r>
        <w:tab/>
      </w:r>
      <w:r>
        <w:tab/>
      </w:r>
      <w:r>
        <w:tab/>
      </w:r>
      <w:r>
        <w:tab/>
      </w:r>
      <w:r>
        <w:tab/>
      </w:r>
    </w:p>
    <w:p>
      <w:pPr>
        <w:pStyle w:val="3"/>
        <w:ind w:left="1410" w:hanging="705"/>
        <w:jc w:val="both"/>
        <w:rPr>
          <w:b/>
          <w:i/>
          <w:smallCaps/>
        </w:rPr>
      </w:pPr>
    </w:p>
    <w:p>
      <w:pPr>
        <w:pStyle w:val="3"/>
        <w:ind w:left="1410" w:hanging="705"/>
        <w:jc w:val="both"/>
        <w:rPr>
          <w:b/>
          <w:i/>
          <w:smallCaps/>
        </w:rPr>
      </w:pPr>
      <w:r>
        <w:t>Dûment habilité à signer l’offre pour et au nom de :</w:t>
      </w:r>
      <w:r>
        <w:rPr>
          <w:u w:val="single"/>
        </w:rPr>
        <w:tab/>
      </w:r>
      <w:r>
        <w:tab/>
      </w:r>
      <w:r>
        <w:tab/>
      </w:r>
      <w:r>
        <w:tab/>
      </w:r>
      <w:r>
        <w:tab/>
      </w:r>
      <w:r>
        <w:tab/>
      </w:r>
    </w:p>
    <w:p>
      <w:pPr>
        <w:pStyle w:val="3"/>
        <w:ind w:left="851" w:hanging="567"/>
        <w:jc w:val="both"/>
        <w:rPr>
          <w:sz w:val="20"/>
          <w:szCs w:val="20"/>
        </w:rPr>
      </w:pPr>
      <w:r>
        <w:rPr>
          <w:b/>
        </w:rPr>
        <w:t xml:space="preserve">     En date du</w:t>
      </w:r>
      <w:r>
        <w:t> </w:t>
      </w:r>
      <w:r>
        <w:rPr>
          <w:u w:val="single"/>
        </w:rPr>
        <w:tab/>
      </w:r>
    </w:p>
    <w:p>
      <w:pPr>
        <w:pStyle w:val="3"/>
        <w:spacing w:line="360" w:lineRule="auto"/>
        <w:rPr>
          <w:b/>
          <w:i/>
          <w:smallCaps/>
        </w:rPr>
      </w:pPr>
      <w:r>
        <w:br w:type="textWrapping"/>
      </w:r>
    </w:p>
    <w:p>
      <w:pPr>
        <w:pStyle w:val="3"/>
        <w:widowControl w:val="0"/>
        <w:tabs>
          <w:tab w:val="left" w:pos="10480"/>
        </w:tabs>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ind w:left="851" w:firstLine="1"/>
        <w:jc w:val="center"/>
        <w:rPr>
          <w:b/>
          <w:smallCaps/>
          <w:color w:val="000000"/>
          <w:sz w:val="36"/>
          <w:szCs w:val="36"/>
        </w:rPr>
      </w:pPr>
      <w:bookmarkStart w:id="216" w:name="_25lcl3g" w:colFirst="0" w:colLast="0"/>
      <w:bookmarkEnd w:id="216"/>
      <w:r>
        <w:rPr>
          <w:b/>
          <w:smallCaps/>
          <w:color w:val="000000"/>
          <w:sz w:val="36"/>
          <w:szCs w:val="36"/>
        </w:rPr>
        <w:t xml:space="preserve">PIECE N°13 </w:t>
      </w:r>
    </w:p>
    <w:p>
      <w:pPr>
        <w:pStyle w:val="3"/>
        <w:widowControl w:val="0"/>
        <w:ind w:left="851" w:firstLine="1"/>
        <w:jc w:val="center"/>
        <w:rPr>
          <w:b/>
          <w:smallCaps/>
          <w:color w:val="000000"/>
          <w:sz w:val="36"/>
          <w:szCs w:val="36"/>
        </w:rPr>
      </w:pPr>
      <w:bookmarkStart w:id="217" w:name="_kqmvb9" w:colFirst="0" w:colLast="0"/>
      <w:bookmarkEnd w:id="217"/>
      <w:r>
        <w:rPr>
          <w:b/>
          <w:smallCaps/>
          <w:color w:val="000000"/>
          <w:sz w:val="36"/>
          <w:szCs w:val="36"/>
        </w:rPr>
        <w:t>VISA DE MATURITÉ OU JUSTIFICATIFS DES ÉTUDES PRÉALABLES</w:t>
      </w: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rPr>
          <w:sz w:val="20"/>
          <w:szCs w:val="20"/>
        </w:rPr>
      </w:pPr>
    </w:p>
    <w:p>
      <w:pPr>
        <w:pStyle w:val="3"/>
        <w:widowControl w:val="0"/>
        <w:spacing w:line="360" w:lineRule="auto"/>
        <w:jc w:val="both"/>
        <w:rPr>
          <w:b/>
          <w:smallCaps/>
          <w:color w:val="000000"/>
          <w:sz w:val="32"/>
          <w:szCs w:val="32"/>
        </w:rPr>
      </w:pPr>
      <w:r>
        <w:rPr>
          <w:i/>
        </w:rPr>
        <w:t>[</w:t>
      </w:r>
    </w:p>
    <w:p>
      <w:pPr>
        <w:pStyle w:val="3"/>
        <w:spacing w:line="360" w:lineRule="auto"/>
        <w:jc w:val="center"/>
        <w:rPr>
          <w:b/>
          <w:smallCaps/>
          <w:sz w:val="32"/>
          <w:szCs w:val="32"/>
        </w:rPr>
      </w:pPr>
      <w:bookmarkStart w:id="218" w:name="_1jvko6v" w:colFirst="0" w:colLast="0"/>
      <w:bookmarkEnd w:id="218"/>
      <w:r>
        <w:rPr>
          <w:b/>
          <w:smallCaps/>
          <w:sz w:val="32"/>
          <w:szCs w:val="32"/>
        </w:rPr>
        <w:t>PIECE N°14 : VISA DE MATURITÉ OU JUSTIFICATIF DES ÉTUDES PRÉALABLES</w:t>
      </w:r>
    </w:p>
    <w:p>
      <w:pPr>
        <w:pStyle w:val="3"/>
        <w:widowControl w:val="0"/>
        <w:spacing w:before="2" w:line="360" w:lineRule="auto"/>
        <w:rPr>
          <w:b/>
          <w:i/>
          <w:smallCaps/>
        </w:rPr>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pPr>
    </w:p>
    <w:p>
      <w:pPr>
        <w:pStyle w:val="3"/>
        <w:widowControl w:val="0"/>
        <w:spacing w:line="360" w:lineRule="auto"/>
        <w:ind w:left="107" w:right="-20"/>
        <w:rPr>
          <w:b/>
          <w:i/>
          <w:smallCaps/>
        </w:rPr>
      </w:pPr>
      <w:r>
        <w:t>1. Joindre l’étude préalable :</w:t>
      </w:r>
    </w:p>
    <w:p>
      <w:pPr>
        <w:pStyle w:val="3"/>
        <w:widowControl w:val="0"/>
        <w:spacing w:line="360" w:lineRule="auto"/>
        <w:rPr>
          <w:b/>
          <w:i/>
          <w:smallCaps/>
        </w:rPr>
      </w:pPr>
    </w:p>
    <w:p>
      <w:pPr>
        <w:pStyle w:val="3"/>
        <w:widowControl w:val="0"/>
        <w:spacing w:line="360" w:lineRule="auto"/>
        <w:ind w:left="107" w:right="-20"/>
        <w:rPr>
          <w:b/>
          <w:i/>
          <w:smallCaps/>
        </w:rPr>
      </w:pPr>
      <w:r>
        <w:t>2. Indiquer :</w:t>
      </w:r>
    </w:p>
    <w:p>
      <w:pPr>
        <w:pStyle w:val="3"/>
        <w:widowControl w:val="0"/>
        <w:spacing w:before="10" w:line="360" w:lineRule="auto"/>
        <w:rPr>
          <w:b/>
          <w:i/>
          <w:smallCaps/>
        </w:rPr>
      </w:pPr>
    </w:p>
    <w:p>
      <w:pPr>
        <w:pStyle w:val="3"/>
        <w:widowControl w:val="0"/>
        <w:tabs>
          <w:tab w:val="left" w:pos="1460"/>
        </w:tabs>
        <w:spacing w:line="360" w:lineRule="auto"/>
        <w:ind w:left="787" w:right="-20"/>
        <w:rPr>
          <w:b/>
          <w:i/>
          <w:smallCaps/>
        </w:rPr>
      </w:pPr>
      <w:r>
        <w:t>2.1.</w:t>
      </w:r>
      <w:r>
        <w:tab/>
      </w:r>
      <w:r>
        <w:t>La date de la réalisation de l’étude;</w:t>
      </w:r>
    </w:p>
    <w:p>
      <w:pPr>
        <w:pStyle w:val="3"/>
        <w:widowControl w:val="0"/>
        <w:spacing w:before="10" w:line="360" w:lineRule="auto"/>
        <w:rPr>
          <w:b/>
          <w:i/>
          <w:smallCaps/>
        </w:rPr>
      </w:pPr>
    </w:p>
    <w:p>
      <w:pPr>
        <w:pStyle w:val="3"/>
        <w:widowControl w:val="0"/>
        <w:tabs>
          <w:tab w:val="left" w:pos="1460"/>
        </w:tabs>
        <w:spacing w:line="360" w:lineRule="auto"/>
        <w:ind w:left="787" w:right="-20"/>
        <w:rPr>
          <w:b/>
          <w:i/>
          <w:smallCaps/>
        </w:rPr>
      </w:pPr>
      <w:r>
        <w:t>2.2.</w:t>
      </w:r>
      <w:r>
        <w:tab/>
      </w:r>
      <w:r>
        <w:t>Le nom du maître d’œuvre public ou privé l’ayant réalisé ;</w:t>
      </w:r>
    </w:p>
    <w:p>
      <w:pPr>
        <w:pStyle w:val="3"/>
        <w:widowControl w:val="0"/>
        <w:spacing w:line="360" w:lineRule="auto"/>
        <w:rPr>
          <w:b/>
          <w:i/>
          <w:smallCaps/>
        </w:rPr>
      </w:pPr>
    </w:p>
    <w:p>
      <w:pPr>
        <w:pStyle w:val="3"/>
        <w:widowControl w:val="0"/>
        <w:tabs>
          <w:tab w:val="left" w:pos="1460"/>
        </w:tabs>
        <w:spacing w:line="360" w:lineRule="auto"/>
        <w:ind w:left="787" w:right="-20"/>
        <w:rPr>
          <w:b/>
          <w:i/>
          <w:smallCaps/>
        </w:rPr>
      </w:pPr>
      <w:r>
        <w:t>2.3.</w:t>
      </w:r>
      <w:r>
        <w:tab/>
      </w:r>
      <w:r>
        <w:t>Les références du marché, si maîtrise d’œuvre privée l’ayant réalisé ;</w:t>
      </w:r>
    </w:p>
    <w:p>
      <w:pPr>
        <w:pStyle w:val="3"/>
        <w:widowControl w:val="0"/>
        <w:spacing w:before="10" w:line="360" w:lineRule="auto"/>
        <w:rPr>
          <w:b/>
          <w:i/>
          <w:smallCaps/>
        </w:rPr>
      </w:pPr>
      <w:r>
        <w:t xml:space="preserve">              2.4</w:t>
      </w:r>
      <w:r>
        <w:tab/>
      </w:r>
      <w:r>
        <w:t xml:space="preserve">Si entretien  </w:t>
      </w:r>
    </w:p>
    <w:p>
      <w:pPr>
        <w:pStyle w:val="3"/>
        <w:widowControl w:val="0"/>
        <w:tabs>
          <w:tab w:val="left" w:pos="1460"/>
        </w:tabs>
        <w:spacing w:line="360" w:lineRule="auto"/>
        <w:ind w:left="787" w:right="-241"/>
        <w:rPr>
          <w:b/>
          <w:i/>
          <w:smallCaps/>
        </w:rPr>
      </w:pPr>
      <w:r>
        <w:t>2.4.</w:t>
      </w:r>
      <w:r>
        <w:tab/>
      </w:r>
      <w:r>
        <w:t>Description des études : (pour les projets de moindre envergure une note</w:t>
      </w:r>
    </w:p>
    <w:p>
      <w:pPr>
        <w:pStyle w:val="3"/>
        <w:widowControl w:val="0"/>
        <w:spacing w:before="14" w:line="360" w:lineRule="auto"/>
        <w:ind w:left="1468" w:right="-219"/>
        <w:rPr>
          <w:b/>
          <w:i/>
          <w:smallCaps/>
        </w:rPr>
      </w:pPr>
      <w:r>
        <w:t>de présentation peut être rédigée sous forme d’études préalable à condition</w:t>
      </w:r>
    </w:p>
    <w:p>
      <w:pPr>
        <w:pStyle w:val="3"/>
        <w:widowControl w:val="0"/>
        <w:spacing w:before="14" w:line="360" w:lineRule="auto"/>
        <w:ind w:left="1468" w:right="-20"/>
        <w:rPr>
          <w:b/>
          <w:i/>
          <w:smallCaps/>
        </w:rPr>
      </w:pPr>
      <w:r>
        <w:t>de bien ressortir la détermination des coûts et spécifications techniques).</w:t>
      </w:r>
    </w:p>
    <w:p>
      <w:pPr>
        <w:pStyle w:val="3"/>
        <w:widowControl w:val="0"/>
        <w:spacing w:line="360" w:lineRule="auto"/>
        <w:ind w:left="1440" w:right="-264" w:hanging="1333"/>
        <w:rPr>
          <w:b/>
          <w:i/>
          <w:smallCaps/>
        </w:rPr>
      </w:pPr>
      <w:r>
        <w:rPr>
          <w:i/>
        </w:rPr>
        <w:t>N.B 1/</w:t>
      </w:r>
      <w:r>
        <w:rPr>
          <w:i/>
        </w:rPr>
        <w:tab/>
      </w:r>
      <w:r>
        <w:t>Pour les prestations   de   moindre envergure, le Maître d’Ouvrage ou Maître d’Ouvrage Délégué peut fournir un calcul justificatif des quantités du DAO.</w:t>
      </w:r>
    </w:p>
    <w:p>
      <w:pPr>
        <w:pStyle w:val="3"/>
        <w:widowControl w:val="0"/>
        <w:spacing w:line="360" w:lineRule="auto"/>
        <w:ind w:left="1440" w:right="-263" w:hanging="718"/>
        <w:rPr>
          <w:sz w:val="20"/>
          <w:szCs w:val="20"/>
        </w:rPr>
      </w:pPr>
      <w:r>
        <w:rPr>
          <w:i/>
        </w:rPr>
        <w:t>2/</w:t>
      </w:r>
      <w:r>
        <w:rPr>
          <w:i/>
        </w:rPr>
        <w:tab/>
      </w:r>
      <w:r>
        <w:t>Le président de la commission des marchés peut avant de se prononcer, solliciter l’avis d’un expert sur la qualité des études réalisées.</w:t>
      </w:r>
    </w:p>
    <w:p>
      <w:pPr>
        <w:pStyle w:val="3"/>
        <w:widowControl w:val="0"/>
        <w:spacing w:line="360" w:lineRule="auto"/>
        <w:ind w:left="1440" w:right="-263" w:hanging="718"/>
        <w:rPr>
          <w:b/>
          <w:i/>
          <w:smallCaps/>
        </w:rPr>
      </w:pPr>
    </w:p>
    <w:p>
      <w:pPr>
        <w:pStyle w:val="3"/>
        <w:rPr>
          <w:b/>
          <w:i/>
          <w:smallCaps/>
        </w:rPr>
      </w:pPr>
      <w:r>
        <w:br w:type="textWrapping"/>
      </w:r>
    </w:p>
    <w:p>
      <w:pPr>
        <w:pStyle w:val="3"/>
        <w:pageBreakBefore/>
        <w:spacing w:line="360" w:lineRule="auto"/>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spacing w:line="360" w:lineRule="auto"/>
        <w:jc w:val="both"/>
        <w:rPr>
          <w:b/>
          <w:i/>
          <w:smallCaps/>
        </w:rPr>
      </w:pPr>
    </w:p>
    <w:p>
      <w:pPr>
        <w:pStyle w:val="3"/>
        <w:widowControl w:val="0"/>
        <w:ind w:left="851" w:firstLine="1"/>
        <w:jc w:val="center"/>
        <w:rPr>
          <w:b/>
          <w:smallCaps/>
          <w:color w:val="000000"/>
          <w:sz w:val="36"/>
          <w:szCs w:val="36"/>
        </w:rPr>
      </w:pPr>
      <w:bookmarkStart w:id="219" w:name="_43v86uo" w:colFirst="0" w:colLast="0"/>
      <w:bookmarkEnd w:id="219"/>
      <w:r>
        <w:rPr>
          <w:b/>
          <w:smallCaps/>
          <w:color w:val="000000"/>
          <w:sz w:val="36"/>
          <w:szCs w:val="36"/>
        </w:rPr>
        <w:t xml:space="preserve"> PIECE N°14 : </w:t>
      </w:r>
    </w:p>
    <w:p>
      <w:pPr>
        <w:pStyle w:val="3"/>
        <w:widowControl w:val="0"/>
        <w:ind w:left="851" w:firstLine="1"/>
        <w:jc w:val="center"/>
        <w:rPr>
          <w:b/>
          <w:smallCaps/>
          <w:color w:val="000000"/>
          <w:sz w:val="36"/>
          <w:szCs w:val="36"/>
        </w:rPr>
      </w:pPr>
      <w:r>
        <w:rPr>
          <w:b/>
          <w:smallCaps/>
          <w:color w:val="000000"/>
          <w:sz w:val="36"/>
          <w:szCs w:val="36"/>
        </w:rPr>
        <w:t>LISTE DES ORGANISMES HABILITÉS À ÉMETTRE DES CAUTIONS DANS LE CADRE DES MARCHÉS PUBLICS</w:t>
      </w: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spacing w:line="360" w:lineRule="auto"/>
        <w:jc w:val="both"/>
        <w:rPr>
          <w:sz w:val="20"/>
          <w:szCs w:val="20"/>
        </w:rPr>
      </w:pPr>
    </w:p>
    <w:p>
      <w:pPr>
        <w:pStyle w:val="3"/>
        <w:widowControl w:val="0"/>
        <w:tabs>
          <w:tab w:val="left" w:pos="4180"/>
          <w:tab w:val="left" w:pos="5700"/>
          <w:tab w:val="left" w:pos="6920"/>
        </w:tabs>
        <w:spacing w:line="360" w:lineRule="auto"/>
        <w:rPr>
          <w:b/>
        </w:rPr>
      </w:pPr>
    </w:p>
    <w:p>
      <w:pPr>
        <w:pStyle w:val="3"/>
        <w:widowControl w:val="0"/>
        <w:tabs>
          <w:tab w:val="left" w:pos="4180"/>
          <w:tab w:val="left" w:pos="5700"/>
          <w:tab w:val="left" w:pos="6920"/>
        </w:tabs>
        <w:spacing w:line="360" w:lineRule="auto"/>
        <w:rPr>
          <w:b/>
        </w:rPr>
      </w:pPr>
    </w:p>
    <w:p>
      <w:pPr>
        <w:pStyle w:val="3"/>
        <w:widowControl w:val="0"/>
        <w:tabs>
          <w:tab w:val="left" w:pos="4180"/>
          <w:tab w:val="left" w:pos="5700"/>
          <w:tab w:val="left" w:pos="6920"/>
        </w:tabs>
        <w:spacing w:line="360" w:lineRule="auto"/>
        <w:rPr>
          <w:b/>
        </w:rPr>
      </w:pPr>
    </w:p>
    <w:p>
      <w:pPr>
        <w:pStyle w:val="3"/>
        <w:widowControl w:val="0"/>
        <w:tabs>
          <w:tab w:val="left" w:pos="4180"/>
          <w:tab w:val="left" w:pos="5700"/>
          <w:tab w:val="left" w:pos="6920"/>
        </w:tabs>
        <w:spacing w:line="360" w:lineRule="auto"/>
        <w:rPr>
          <w:b/>
        </w:rPr>
      </w:pPr>
    </w:p>
    <w:p>
      <w:pPr>
        <w:pStyle w:val="3"/>
        <w:widowControl w:val="0"/>
        <w:tabs>
          <w:tab w:val="left" w:pos="4180"/>
          <w:tab w:val="left" w:pos="5700"/>
          <w:tab w:val="left" w:pos="6920"/>
        </w:tabs>
        <w:spacing w:line="360" w:lineRule="auto"/>
        <w:rPr>
          <w:b/>
        </w:rPr>
      </w:pPr>
    </w:p>
    <w:p>
      <w:pPr>
        <w:pStyle w:val="3"/>
        <w:widowControl w:val="0"/>
        <w:tabs>
          <w:tab w:val="left" w:pos="4180"/>
          <w:tab w:val="left" w:pos="5700"/>
          <w:tab w:val="left" w:pos="6920"/>
        </w:tabs>
        <w:spacing w:line="360" w:lineRule="auto"/>
        <w:rPr>
          <w:b/>
          <w:sz w:val="20"/>
          <w:szCs w:val="20"/>
        </w:rPr>
      </w:pPr>
    </w:p>
    <w:p>
      <w:pPr>
        <w:pStyle w:val="3"/>
        <w:widowControl w:val="0"/>
        <w:tabs>
          <w:tab w:val="left" w:pos="4180"/>
          <w:tab w:val="left" w:pos="5700"/>
          <w:tab w:val="left" w:pos="6920"/>
        </w:tabs>
        <w:jc w:val="both"/>
        <w:rPr>
          <w:b/>
          <w:i/>
          <w:sz w:val="20"/>
          <w:szCs w:val="20"/>
        </w:rPr>
      </w:pPr>
      <w:r>
        <w:rPr>
          <w:b/>
          <w:i/>
        </w:rPr>
        <w:t>LISTES DES ETABLISSEMENTS BANCAIRES ET ORGANISMES FINANCIERS AUTORISES A EMETTRE DES CAUTIONS DANS LE CADRE DES MARCHES PUBLICS</w:t>
      </w:r>
    </w:p>
    <w:p>
      <w:pPr>
        <w:pStyle w:val="3"/>
        <w:widowControl w:val="0"/>
        <w:tabs>
          <w:tab w:val="left" w:pos="4180"/>
          <w:tab w:val="left" w:pos="5700"/>
          <w:tab w:val="left" w:pos="6920"/>
        </w:tabs>
        <w:jc w:val="both"/>
        <w:rPr>
          <w:b/>
          <w:i/>
          <w:sz w:val="10"/>
          <w:szCs w:val="10"/>
        </w:rPr>
      </w:pPr>
    </w:p>
    <w:p>
      <w:pPr>
        <w:pStyle w:val="3"/>
        <w:widowControl w:val="0"/>
        <w:tabs>
          <w:tab w:val="left" w:pos="4180"/>
          <w:tab w:val="left" w:pos="5700"/>
          <w:tab w:val="left" w:pos="6920"/>
        </w:tabs>
        <w:jc w:val="both"/>
        <w:rPr>
          <w:b/>
          <w:i/>
          <w:sz w:val="20"/>
          <w:szCs w:val="20"/>
        </w:rPr>
      </w:pPr>
      <w:r>
        <w:rPr>
          <w:b/>
          <w:i/>
        </w:rPr>
        <w:t>[NB : insérer la liste en vigueur au moment du lancement de la procédure.]</w:t>
      </w:r>
    </w:p>
    <w:p>
      <w:pPr>
        <w:pStyle w:val="3"/>
        <w:widowControl w:val="0"/>
        <w:tabs>
          <w:tab w:val="left" w:pos="4180"/>
          <w:tab w:val="left" w:pos="5700"/>
          <w:tab w:val="left" w:pos="6920"/>
        </w:tabs>
        <w:jc w:val="both"/>
        <w:rPr>
          <w:b/>
          <w:sz w:val="20"/>
          <w:szCs w:val="20"/>
        </w:rPr>
      </w:pPr>
      <w:r>
        <w:rPr>
          <w:b/>
        </w:rPr>
        <w:t>I- BANQUES</w:t>
      </w:r>
    </w:p>
    <w:p>
      <w:pPr>
        <w:pStyle w:val="3"/>
        <w:widowControl w:val="0"/>
        <w:numPr>
          <w:ilvl w:val="0"/>
          <w:numId w:val="90"/>
        </w:numPr>
        <w:tabs>
          <w:tab w:val="left" w:pos="4180"/>
          <w:tab w:val="left" w:pos="5700"/>
          <w:tab w:val="left" w:pos="6920"/>
        </w:tabs>
        <w:jc w:val="both"/>
        <w:rPr>
          <w:sz w:val="20"/>
          <w:szCs w:val="20"/>
          <w:lang w:val="en-US"/>
        </w:rPr>
      </w:pPr>
      <w:r>
        <w:rPr>
          <w:lang w:val="en-US"/>
        </w:rPr>
        <w:t>Access Bank Cameroon, BP : 6 000 Yaoundé ;</w:t>
      </w:r>
    </w:p>
    <w:p>
      <w:pPr>
        <w:pStyle w:val="3"/>
        <w:widowControl w:val="0"/>
        <w:numPr>
          <w:ilvl w:val="0"/>
          <w:numId w:val="90"/>
        </w:numPr>
        <w:tabs>
          <w:tab w:val="left" w:pos="4180"/>
          <w:tab w:val="left" w:pos="5700"/>
          <w:tab w:val="left" w:pos="6920"/>
        </w:tabs>
        <w:jc w:val="both"/>
        <w:rPr>
          <w:sz w:val="20"/>
          <w:szCs w:val="20"/>
          <w:lang w:val="en-US"/>
        </w:rPr>
      </w:pPr>
      <w:r>
        <w:rPr>
          <w:lang w:val="en-US"/>
        </w:rPr>
        <w:t>Afriland First Bank (AFB), BP : 11 834 Yaoundé ;</w:t>
      </w:r>
    </w:p>
    <w:p>
      <w:pPr>
        <w:pStyle w:val="3"/>
        <w:widowControl w:val="0"/>
        <w:numPr>
          <w:ilvl w:val="0"/>
          <w:numId w:val="90"/>
        </w:numPr>
        <w:tabs>
          <w:tab w:val="left" w:pos="4180"/>
          <w:tab w:val="left" w:pos="5700"/>
          <w:tab w:val="left" w:pos="6920"/>
        </w:tabs>
        <w:jc w:val="both"/>
        <w:rPr>
          <w:sz w:val="20"/>
          <w:szCs w:val="20"/>
        </w:rPr>
      </w:pPr>
      <w:r>
        <w:t>Banco Nacional de Guinea Equatorial (BANGE), Yaoundé ;</w:t>
      </w:r>
    </w:p>
    <w:p>
      <w:pPr>
        <w:pStyle w:val="3"/>
        <w:widowControl w:val="0"/>
        <w:numPr>
          <w:ilvl w:val="0"/>
          <w:numId w:val="90"/>
        </w:numPr>
        <w:tabs>
          <w:tab w:val="left" w:pos="4180"/>
          <w:tab w:val="left" w:pos="5700"/>
          <w:tab w:val="left" w:pos="6920"/>
        </w:tabs>
        <w:jc w:val="both"/>
        <w:rPr>
          <w:sz w:val="20"/>
          <w:szCs w:val="20"/>
        </w:rPr>
      </w:pPr>
      <w:r>
        <w:t>Banque Atlantique Cameroun (BACM), BP : 2 933 Douala ;</w:t>
      </w:r>
    </w:p>
    <w:p>
      <w:pPr>
        <w:pStyle w:val="3"/>
        <w:widowControl w:val="0"/>
        <w:numPr>
          <w:ilvl w:val="0"/>
          <w:numId w:val="90"/>
        </w:numPr>
        <w:tabs>
          <w:tab w:val="left" w:pos="4180"/>
          <w:tab w:val="left" w:pos="5700"/>
          <w:tab w:val="left" w:pos="6920"/>
        </w:tabs>
        <w:jc w:val="both"/>
        <w:rPr>
          <w:sz w:val="20"/>
          <w:szCs w:val="20"/>
        </w:rPr>
      </w:pPr>
      <w:r>
        <w:t>Banque Camerounaise des Petites et Moyennes Entreprises (BC-PME), Yaoundé ;</w:t>
      </w:r>
    </w:p>
    <w:p>
      <w:pPr>
        <w:pStyle w:val="3"/>
        <w:widowControl w:val="0"/>
        <w:numPr>
          <w:ilvl w:val="0"/>
          <w:numId w:val="90"/>
        </w:numPr>
        <w:tabs>
          <w:tab w:val="left" w:pos="4180"/>
          <w:tab w:val="left" w:pos="5700"/>
          <w:tab w:val="left" w:pos="6920"/>
        </w:tabs>
        <w:jc w:val="both"/>
        <w:rPr>
          <w:sz w:val="20"/>
          <w:szCs w:val="20"/>
        </w:rPr>
      </w:pPr>
      <w:r>
        <w:t>Banque Gabonaise pour le Financement International (BGFI BANK), BP : 12 962 Douala ;</w:t>
      </w:r>
    </w:p>
    <w:p>
      <w:pPr>
        <w:pStyle w:val="3"/>
        <w:widowControl w:val="0"/>
        <w:numPr>
          <w:ilvl w:val="0"/>
          <w:numId w:val="90"/>
        </w:numPr>
        <w:tabs>
          <w:tab w:val="left" w:pos="4180"/>
          <w:tab w:val="left" w:pos="5700"/>
          <w:tab w:val="left" w:pos="6920"/>
        </w:tabs>
        <w:jc w:val="both"/>
        <w:rPr>
          <w:sz w:val="20"/>
          <w:szCs w:val="20"/>
        </w:rPr>
      </w:pPr>
      <w:r>
        <w:t>Banque Internationale du Cameroun pour l’Epargne et le Crédit (BICEC), BP : 1 925 Douala ;</w:t>
      </w:r>
    </w:p>
    <w:p>
      <w:pPr>
        <w:pStyle w:val="3"/>
        <w:widowControl w:val="0"/>
        <w:numPr>
          <w:ilvl w:val="0"/>
          <w:numId w:val="90"/>
        </w:numPr>
        <w:tabs>
          <w:tab w:val="left" w:pos="4180"/>
          <w:tab w:val="left" w:pos="5700"/>
          <w:tab w:val="left" w:pos="6920"/>
        </w:tabs>
        <w:jc w:val="both"/>
        <w:rPr>
          <w:sz w:val="20"/>
          <w:szCs w:val="20"/>
        </w:rPr>
      </w:pPr>
      <w:r>
        <w:t>CITI Bank, BP : 4 571 Douala ;</w:t>
      </w:r>
    </w:p>
    <w:p>
      <w:pPr>
        <w:pStyle w:val="3"/>
        <w:widowControl w:val="0"/>
        <w:numPr>
          <w:ilvl w:val="0"/>
          <w:numId w:val="90"/>
        </w:numPr>
        <w:tabs>
          <w:tab w:val="left" w:pos="4180"/>
          <w:tab w:val="left" w:pos="5700"/>
          <w:tab w:val="left" w:pos="6920"/>
        </w:tabs>
        <w:jc w:val="both"/>
        <w:rPr>
          <w:sz w:val="20"/>
          <w:szCs w:val="20"/>
          <w:lang w:val="en-US"/>
        </w:rPr>
      </w:pPr>
      <w:r>
        <w:rPr>
          <w:lang w:val="en-US"/>
        </w:rPr>
        <w:t>Commercial Bank of Cameroon (CBC), BP : 4 004 Douala ;</w:t>
      </w:r>
    </w:p>
    <w:p>
      <w:pPr>
        <w:pStyle w:val="3"/>
        <w:widowControl w:val="0"/>
        <w:numPr>
          <w:ilvl w:val="0"/>
          <w:numId w:val="90"/>
        </w:numPr>
        <w:tabs>
          <w:tab w:val="left" w:pos="567"/>
        </w:tabs>
        <w:ind w:left="567" w:hanging="283"/>
        <w:jc w:val="both"/>
        <w:rPr>
          <w:sz w:val="20"/>
          <w:szCs w:val="20"/>
        </w:rPr>
      </w:pPr>
      <w:r>
        <w:t>Crédit Communautaire d’Afrique-Bank (CCA-BANK), BP : 30 388 Yaoundé ;</w:t>
      </w:r>
    </w:p>
    <w:p>
      <w:pPr>
        <w:pStyle w:val="3"/>
        <w:widowControl w:val="0"/>
        <w:numPr>
          <w:ilvl w:val="0"/>
          <w:numId w:val="90"/>
        </w:numPr>
        <w:tabs>
          <w:tab w:val="left" w:pos="567"/>
        </w:tabs>
        <w:ind w:left="567" w:hanging="283"/>
        <w:jc w:val="both"/>
        <w:rPr>
          <w:sz w:val="20"/>
          <w:szCs w:val="20"/>
          <w:lang w:val="en-US"/>
        </w:rPr>
      </w:pPr>
      <w:r>
        <w:rPr>
          <w:lang w:val="en-US"/>
        </w:rPr>
        <w:t>ECOBANK Cameroon (ECOBANK), BP : 582 Douala ;</w:t>
      </w:r>
    </w:p>
    <w:p>
      <w:pPr>
        <w:pStyle w:val="3"/>
        <w:widowControl w:val="0"/>
        <w:numPr>
          <w:ilvl w:val="0"/>
          <w:numId w:val="90"/>
        </w:numPr>
        <w:tabs>
          <w:tab w:val="left" w:pos="567"/>
        </w:tabs>
        <w:ind w:left="567" w:hanging="283"/>
        <w:jc w:val="both"/>
        <w:rPr>
          <w:sz w:val="20"/>
          <w:szCs w:val="20"/>
        </w:rPr>
      </w:pPr>
      <w:r>
        <w:t>La Régionale Bank, BP : 30 145 Yaoundé ;</w:t>
      </w:r>
    </w:p>
    <w:p>
      <w:pPr>
        <w:pStyle w:val="3"/>
        <w:widowControl w:val="0"/>
        <w:numPr>
          <w:ilvl w:val="0"/>
          <w:numId w:val="90"/>
        </w:numPr>
        <w:tabs>
          <w:tab w:val="left" w:pos="567"/>
        </w:tabs>
        <w:ind w:left="567" w:hanging="283"/>
        <w:jc w:val="both"/>
        <w:rPr>
          <w:sz w:val="20"/>
          <w:szCs w:val="20"/>
          <w:lang w:val="en-US"/>
        </w:rPr>
      </w:pPr>
      <w:r>
        <w:rPr>
          <w:lang w:val="en-US"/>
        </w:rPr>
        <w:t>National Financial Credit Bank (NFC -Bank), BP : 6 578 Yaoundé ;</w:t>
      </w:r>
    </w:p>
    <w:p>
      <w:pPr>
        <w:pStyle w:val="3"/>
        <w:widowControl w:val="0"/>
        <w:numPr>
          <w:ilvl w:val="0"/>
          <w:numId w:val="90"/>
        </w:numPr>
        <w:tabs>
          <w:tab w:val="left" w:pos="567"/>
        </w:tabs>
        <w:ind w:left="567" w:hanging="283"/>
        <w:jc w:val="both"/>
        <w:rPr>
          <w:sz w:val="20"/>
          <w:szCs w:val="20"/>
        </w:rPr>
      </w:pPr>
      <w:r>
        <w:t>Société Commerciale de Banque-Cameroun (SCB-Cameroun), BP : 300 Douala ;</w:t>
      </w:r>
    </w:p>
    <w:p>
      <w:pPr>
        <w:pStyle w:val="3"/>
        <w:widowControl w:val="0"/>
        <w:numPr>
          <w:ilvl w:val="0"/>
          <w:numId w:val="90"/>
        </w:numPr>
        <w:tabs>
          <w:tab w:val="left" w:pos="567"/>
        </w:tabs>
        <w:ind w:left="567" w:hanging="283"/>
        <w:jc w:val="both"/>
        <w:rPr>
          <w:sz w:val="20"/>
          <w:szCs w:val="20"/>
        </w:rPr>
      </w:pPr>
      <w:r>
        <w:t>Société Générale Cameroun (SGC), BP : 4 042 Douala ;</w:t>
      </w:r>
    </w:p>
    <w:p>
      <w:pPr>
        <w:pStyle w:val="3"/>
        <w:widowControl w:val="0"/>
        <w:numPr>
          <w:ilvl w:val="0"/>
          <w:numId w:val="90"/>
        </w:numPr>
        <w:tabs>
          <w:tab w:val="left" w:pos="567"/>
        </w:tabs>
        <w:ind w:left="567" w:hanging="283"/>
        <w:jc w:val="both"/>
        <w:rPr>
          <w:sz w:val="20"/>
          <w:szCs w:val="20"/>
          <w:lang w:val="en-US"/>
        </w:rPr>
      </w:pPr>
      <w:r>
        <w:rPr>
          <w:lang w:val="en-US"/>
        </w:rPr>
        <w:t>Standard Chartered Bank Cameroon (SCBC), BP : 1 784 Douala ;</w:t>
      </w:r>
    </w:p>
    <w:p>
      <w:pPr>
        <w:pStyle w:val="3"/>
        <w:widowControl w:val="0"/>
        <w:numPr>
          <w:ilvl w:val="0"/>
          <w:numId w:val="90"/>
        </w:numPr>
        <w:tabs>
          <w:tab w:val="left" w:pos="567"/>
        </w:tabs>
        <w:ind w:left="567" w:hanging="283"/>
        <w:jc w:val="both"/>
        <w:rPr>
          <w:sz w:val="20"/>
          <w:szCs w:val="20"/>
          <w:lang w:val="en-US"/>
        </w:rPr>
      </w:pPr>
      <w:r>
        <w:rPr>
          <w:lang w:val="en-US"/>
        </w:rPr>
        <w:t>Union Bank of Cameroon, (UBC), BP : 15 569 Douala ;</w:t>
      </w:r>
    </w:p>
    <w:p>
      <w:pPr>
        <w:pStyle w:val="3"/>
        <w:widowControl w:val="0"/>
        <w:numPr>
          <w:ilvl w:val="0"/>
          <w:numId w:val="90"/>
        </w:numPr>
        <w:tabs>
          <w:tab w:val="left" w:pos="567"/>
        </w:tabs>
        <w:ind w:left="567" w:hanging="283"/>
        <w:jc w:val="both"/>
        <w:rPr>
          <w:sz w:val="20"/>
          <w:szCs w:val="20"/>
          <w:lang w:val="en-US"/>
        </w:rPr>
      </w:pPr>
      <w:r>
        <w:rPr>
          <w:lang w:val="en-US"/>
        </w:rPr>
        <w:t>United Bank for Africa (UBA), BP : 2 088 Douala.</w:t>
      </w:r>
    </w:p>
    <w:p>
      <w:pPr>
        <w:pStyle w:val="3"/>
        <w:widowControl w:val="0"/>
        <w:tabs>
          <w:tab w:val="left" w:pos="4180"/>
          <w:tab w:val="left" w:pos="5700"/>
          <w:tab w:val="left" w:pos="6920"/>
        </w:tabs>
        <w:jc w:val="both"/>
        <w:rPr>
          <w:b/>
          <w:i/>
          <w:sz w:val="20"/>
          <w:szCs w:val="20"/>
          <w:lang w:val="en-US"/>
        </w:rPr>
      </w:pPr>
    </w:p>
    <w:p>
      <w:pPr>
        <w:pStyle w:val="3"/>
        <w:widowControl w:val="0"/>
        <w:tabs>
          <w:tab w:val="left" w:pos="4180"/>
          <w:tab w:val="left" w:pos="5700"/>
          <w:tab w:val="left" w:pos="6920"/>
        </w:tabs>
        <w:jc w:val="both"/>
        <w:rPr>
          <w:b/>
          <w:i/>
          <w:sz w:val="20"/>
          <w:szCs w:val="20"/>
        </w:rPr>
      </w:pPr>
      <w:r>
        <w:rPr>
          <w:b/>
        </w:rPr>
        <w:t>II-</w:t>
      </w:r>
      <w:r>
        <w:rPr>
          <w:b/>
          <w:i/>
        </w:rPr>
        <w:t xml:space="preserve"> </w:t>
      </w:r>
      <w:r>
        <w:rPr>
          <w:b/>
        </w:rPr>
        <w:t>COMPAGNIES D’ASSURANCES</w:t>
      </w:r>
    </w:p>
    <w:p>
      <w:pPr>
        <w:pStyle w:val="3"/>
        <w:widowControl w:val="0"/>
        <w:numPr>
          <w:ilvl w:val="0"/>
          <w:numId w:val="91"/>
        </w:numPr>
        <w:tabs>
          <w:tab w:val="left" w:pos="4180"/>
          <w:tab w:val="left" w:pos="5700"/>
          <w:tab w:val="left" w:pos="6920"/>
        </w:tabs>
        <w:jc w:val="both"/>
        <w:rPr>
          <w:sz w:val="20"/>
          <w:szCs w:val="20"/>
        </w:rPr>
      </w:pPr>
      <w:r>
        <w:t>Activa Assurances, BP : 12 970 Douala ;</w:t>
      </w:r>
    </w:p>
    <w:p>
      <w:pPr>
        <w:pStyle w:val="3"/>
        <w:widowControl w:val="0"/>
        <w:numPr>
          <w:ilvl w:val="0"/>
          <w:numId w:val="91"/>
        </w:numPr>
        <w:tabs>
          <w:tab w:val="left" w:pos="4180"/>
          <w:tab w:val="left" w:pos="5700"/>
          <w:tab w:val="left" w:pos="6920"/>
        </w:tabs>
        <w:jc w:val="both"/>
        <w:rPr>
          <w:sz w:val="20"/>
          <w:szCs w:val="20"/>
        </w:rPr>
      </w:pPr>
      <w:r>
        <w:t>AREA Assurances S.A, BP :15 584 Douala ;</w:t>
      </w:r>
    </w:p>
    <w:p>
      <w:pPr>
        <w:pStyle w:val="3"/>
        <w:widowControl w:val="0"/>
        <w:numPr>
          <w:ilvl w:val="0"/>
          <w:numId w:val="91"/>
        </w:numPr>
        <w:tabs>
          <w:tab w:val="left" w:pos="4180"/>
          <w:tab w:val="left" w:pos="5700"/>
          <w:tab w:val="left" w:pos="6920"/>
        </w:tabs>
        <w:jc w:val="both"/>
        <w:rPr>
          <w:sz w:val="20"/>
          <w:szCs w:val="20"/>
        </w:rPr>
      </w:pPr>
      <w:r>
        <w:t>Atlantique Assurances Cameroun IARDT, BP :3 073 Douala ;</w:t>
      </w:r>
    </w:p>
    <w:p>
      <w:pPr>
        <w:pStyle w:val="3"/>
        <w:widowControl w:val="0"/>
        <w:numPr>
          <w:ilvl w:val="0"/>
          <w:numId w:val="91"/>
        </w:numPr>
        <w:tabs>
          <w:tab w:val="left" w:pos="4180"/>
          <w:tab w:val="left" w:pos="5700"/>
          <w:tab w:val="left" w:pos="6920"/>
        </w:tabs>
        <w:jc w:val="both"/>
        <w:rPr>
          <w:sz w:val="20"/>
          <w:szCs w:val="20"/>
        </w:rPr>
      </w:pPr>
      <w:r>
        <w:t>Chanas Assurances S.A, BP :109 Douala ;</w:t>
      </w:r>
    </w:p>
    <w:p>
      <w:pPr>
        <w:pStyle w:val="3"/>
        <w:widowControl w:val="0"/>
        <w:numPr>
          <w:ilvl w:val="0"/>
          <w:numId w:val="91"/>
        </w:numPr>
        <w:tabs>
          <w:tab w:val="left" w:pos="4180"/>
          <w:tab w:val="left" w:pos="5700"/>
          <w:tab w:val="left" w:pos="6920"/>
        </w:tabs>
        <w:jc w:val="both"/>
        <w:rPr>
          <w:sz w:val="20"/>
          <w:szCs w:val="20"/>
        </w:rPr>
      </w:pPr>
      <w:r>
        <w:t>CPA S.A., BP: 54 Douala ;</w:t>
      </w:r>
    </w:p>
    <w:p>
      <w:pPr>
        <w:pStyle w:val="3"/>
        <w:widowControl w:val="0"/>
        <w:numPr>
          <w:ilvl w:val="0"/>
          <w:numId w:val="91"/>
        </w:numPr>
        <w:tabs>
          <w:tab w:val="left" w:pos="4180"/>
          <w:tab w:val="left" w:pos="5700"/>
          <w:tab w:val="left" w:pos="6920"/>
        </w:tabs>
        <w:jc w:val="both"/>
        <w:rPr>
          <w:sz w:val="20"/>
          <w:szCs w:val="20"/>
        </w:rPr>
      </w:pPr>
      <w:r>
        <w:t>NSIA Assurances S.A., BP : 2 759 Douala ;</w:t>
      </w:r>
    </w:p>
    <w:p>
      <w:pPr>
        <w:pStyle w:val="3"/>
        <w:widowControl w:val="0"/>
        <w:numPr>
          <w:ilvl w:val="0"/>
          <w:numId w:val="91"/>
        </w:numPr>
        <w:tabs>
          <w:tab w:val="left" w:pos="4180"/>
          <w:tab w:val="left" w:pos="5700"/>
          <w:tab w:val="left" w:pos="6920"/>
        </w:tabs>
        <w:jc w:val="both"/>
        <w:rPr>
          <w:sz w:val="20"/>
          <w:szCs w:val="20"/>
          <w:lang w:val="en-US"/>
        </w:rPr>
      </w:pPr>
      <w:r>
        <w:rPr>
          <w:lang w:val="en-US"/>
        </w:rPr>
        <w:t>PRO ASSUR S.A, BP : 5 963 Douala ;</w:t>
      </w:r>
    </w:p>
    <w:p>
      <w:pPr>
        <w:pStyle w:val="3"/>
        <w:widowControl w:val="0"/>
        <w:numPr>
          <w:ilvl w:val="0"/>
          <w:numId w:val="91"/>
        </w:numPr>
        <w:tabs>
          <w:tab w:val="left" w:pos="4180"/>
          <w:tab w:val="left" w:pos="5700"/>
          <w:tab w:val="left" w:pos="6920"/>
        </w:tabs>
        <w:jc w:val="both"/>
        <w:rPr>
          <w:sz w:val="20"/>
          <w:szCs w:val="20"/>
        </w:rPr>
      </w:pPr>
      <w:r>
        <w:t>Prudential Bénéficial General Insurance S.A, BP: 2 328 Douala ;</w:t>
      </w:r>
    </w:p>
    <w:p>
      <w:pPr>
        <w:pStyle w:val="3"/>
        <w:widowControl w:val="0"/>
        <w:numPr>
          <w:ilvl w:val="0"/>
          <w:numId w:val="91"/>
        </w:numPr>
        <w:tabs>
          <w:tab w:val="left" w:pos="4180"/>
          <w:tab w:val="left" w:pos="5700"/>
          <w:tab w:val="left" w:pos="6920"/>
        </w:tabs>
        <w:jc w:val="both"/>
        <w:rPr>
          <w:sz w:val="20"/>
          <w:szCs w:val="20"/>
        </w:rPr>
      </w:pPr>
      <w:r>
        <w:t>ROYAL ONYX Insurance Cie, BP : 12 230 Douala ;</w:t>
      </w:r>
    </w:p>
    <w:p>
      <w:pPr>
        <w:pStyle w:val="3"/>
        <w:widowControl w:val="0"/>
        <w:numPr>
          <w:ilvl w:val="0"/>
          <w:numId w:val="90"/>
        </w:numPr>
        <w:tabs>
          <w:tab w:val="left" w:pos="567"/>
        </w:tabs>
        <w:ind w:left="567" w:hanging="283"/>
        <w:jc w:val="both"/>
        <w:rPr>
          <w:sz w:val="20"/>
          <w:szCs w:val="20"/>
        </w:rPr>
      </w:pPr>
      <w:r>
        <w:t>SAAR S.A, B.P. 1011 Douala ;</w:t>
      </w:r>
    </w:p>
    <w:p>
      <w:pPr>
        <w:pStyle w:val="3"/>
        <w:widowControl w:val="0"/>
        <w:numPr>
          <w:ilvl w:val="0"/>
          <w:numId w:val="90"/>
        </w:numPr>
        <w:tabs>
          <w:tab w:val="left" w:pos="567"/>
        </w:tabs>
        <w:ind w:left="567" w:hanging="283"/>
        <w:jc w:val="both"/>
        <w:rPr>
          <w:sz w:val="20"/>
          <w:szCs w:val="20"/>
        </w:rPr>
      </w:pPr>
      <w:r>
        <w:t>SANLAM Assurances Cameroun, BP: 12 125 Douala ;</w:t>
      </w:r>
    </w:p>
    <w:p>
      <w:pPr>
        <w:pStyle w:val="3"/>
        <w:widowControl w:val="0"/>
        <w:numPr>
          <w:ilvl w:val="0"/>
          <w:numId w:val="90"/>
        </w:numPr>
        <w:tabs>
          <w:tab w:val="left" w:pos="567"/>
        </w:tabs>
        <w:ind w:left="567" w:hanging="283"/>
        <w:jc w:val="both"/>
        <w:rPr>
          <w:sz w:val="20"/>
          <w:szCs w:val="20"/>
        </w:rPr>
      </w:pPr>
      <w:r>
        <w:t>ZENITHE Insurance, BP : 1 540 Douala.</w:t>
      </w:r>
    </w:p>
    <w:p>
      <w:pPr>
        <w:pStyle w:val="3"/>
        <w:widowControl w:val="0"/>
        <w:tabs>
          <w:tab w:val="left" w:pos="4180"/>
          <w:tab w:val="left" w:pos="5700"/>
          <w:tab w:val="left" w:pos="6920"/>
        </w:tabs>
        <w:jc w:val="both"/>
        <w:rPr>
          <w:b/>
          <w:i/>
          <w:sz w:val="20"/>
          <w:szCs w:val="20"/>
        </w:rPr>
      </w:pPr>
    </w:p>
    <w:p>
      <w:pPr>
        <w:pStyle w:val="3"/>
        <w:widowControl w:val="0"/>
        <w:tabs>
          <w:tab w:val="left" w:pos="4180"/>
          <w:tab w:val="left" w:pos="5700"/>
          <w:tab w:val="left" w:pos="6920"/>
        </w:tabs>
        <w:jc w:val="both"/>
        <w:rPr>
          <w:b/>
          <w:i/>
          <w:sz w:val="20"/>
          <w:szCs w:val="20"/>
        </w:rPr>
      </w:pPr>
      <w:r>
        <w:rPr>
          <w:b/>
          <w:i/>
        </w:rPr>
        <w:t xml:space="preserve">NB : Cette liste étant évolutive, le Maître d’Ouvrage ou le Maître d’Ouvrage devra s’assurer lors de l’élaboration du DAO qu’il s’agit de la dernière actualisation du Ministre en charge des Finances. </w:t>
      </w: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jc w:val="center"/>
        <w:rPr>
          <w:b/>
          <w:i/>
          <w:sz w:val="20"/>
          <w:szCs w:val="20"/>
        </w:rPr>
      </w:pPr>
    </w:p>
    <w:p>
      <w:pPr>
        <w:pStyle w:val="3"/>
        <w:widowControl w:val="0"/>
        <w:tabs>
          <w:tab w:val="left" w:pos="4180"/>
          <w:tab w:val="left" w:pos="5700"/>
          <w:tab w:val="left" w:pos="6920"/>
        </w:tabs>
        <w:spacing w:line="360" w:lineRule="auto"/>
        <w:rPr>
          <w:b/>
          <w:i/>
          <w:sz w:val="20"/>
          <w:szCs w:val="20"/>
        </w:rPr>
      </w:pPr>
    </w:p>
    <w:sectPr>
      <w:footerReference r:id="rId8" w:type="default"/>
      <w:pgSz w:w="11900" w:h="1682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Noto Sans Symbols">
    <w:altName w:val="Times New Roman"/>
    <w:panose1 w:val="00000000000000000000"/>
    <w:charset w:val="00"/>
    <w:family w:val="auto"/>
    <w:pitch w:val="default"/>
    <w:sig w:usb0="00000000" w:usb1="00000000" w:usb2="00000000" w:usb3="00000000" w:csb0="00000000" w:csb1="00000000"/>
  </w:font>
  <w:font w:name="Showcard Gothic">
    <w:panose1 w:val="04020904020102020604"/>
    <w:charset w:val="00"/>
    <w:family w:val="decorative"/>
    <w:pitch w:val="default"/>
    <w:sig w:usb0="00000000" w:usb1="00000000" w:usb2="00000000" w:usb3="00000000" w:csb0="00000001" w:csb1="00000000"/>
  </w:font>
  <w:font w:name="Twentieth Century">
    <w:altName w:val="Times New Roman"/>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Arial Narrow">
    <w:panose1 w:val="020B0606020202030204"/>
    <w:charset w:val="00"/>
    <w:family w:val="swiss"/>
    <w:pitch w:val="default"/>
    <w:sig w:usb0="00000000" w:usb1="00000000" w:usb2="00000000" w:usb3="00000000" w:csb0="0000009F" w:csb1="00000000"/>
  </w:font>
  <w:font w:name="Teko">
    <w:altName w:val="Times New Roman"/>
    <w:panose1 w:val="00000000000000000000"/>
    <w:charset w:val="00"/>
    <w:family w:val="auto"/>
    <w:pitch w:val="default"/>
    <w:sig w:usb0="00000000" w:usb1="00000000" w:usb2="00000000" w:usb3="00000000" w:csb0="00000000" w:csb1="00000000"/>
  </w:font>
  <w:font w:name="Tw Cen MT">
    <w:panose1 w:val="020B0602020104020603"/>
    <w:charset w:val="00"/>
    <w:family w:val="swiss"/>
    <w:pitch w:val="default"/>
    <w:sig w:usb0="00000000" w:usb1="00000000" w:usb2="00000000" w:usb3="00000000" w:csb0="00000003" w:csb1="00000000"/>
  </w:font>
  <w:font w:name="Segoe UI Semibold">
    <w:panose1 w:val="020B0702040204020203"/>
    <w:charset w:val="00"/>
    <w:family w:val="swiss"/>
    <w:pitch w:val="default"/>
    <w:sig w:usb0="00000000" w:usb1="00000000" w:usb2="00000009" w:usb3="00000000" w:csb0="000001FF" w:csb1="00000000"/>
  </w:font>
  <w:font w:name="Segoe UI">
    <w:panose1 w:val="020B0502040204020203"/>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right" w:pos="9072"/>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Style w:val="3"/>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right" w:pos="9072"/>
      </w:tabs>
      <w:rPr>
        <w:color w:val="000000"/>
      </w:rPr>
    </w:pPr>
    <w: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635</wp:posOffset>
              </wp:positionV>
              <wp:extent cx="153035" cy="17526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prstDash val="solid"/>
                      </a:ln>
                    </wps:spPr>
                    <wps:txbx>
                      <w:txbxContent>
                        <w:p>
                          <w:pPr/>
                          <w:r>
                            <w:fldChar w:fldCharType="begin"/>
                          </w:r>
                          <w:r>
                            <w:instrText xml:space="preserve"> PAGE </w:instrText>
                          </w:r>
                          <w:r>
                            <w:fldChar w:fldCharType="separate"/>
                          </w:r>
                          <w:r>
                            <w:t>66</w:t>
                          </w:r>
                          <w:r>
                            <w:fldChar w:fldCharType="end"/>
                          </w:r>
                        </w:p>
                      </w:txbxContent>
                    </wps:txbx>
                    <wps:bodyPr vert="horz" wrap="none" lIns="0" tIns="0" rIns="0" bIns="0" anchor="t" anchorCtr="0" compatLnSpc="0">
                      <a:spAutoFit/>
                    </wps:bodyPr>
                  </wps:wsp>
                </a:graphicData>
              </a:graphic>
            </wp:anchor>
          </w:drawing>
        </mc:Choice>
        <mc:Fallback>
          <w:pict>
            <v:shape id="_x0000_s1026" o:spid="_x0000_s1026" o:spt="202" type="#_x0000_t202" style="position:absolute;left:0pt;margin-left:234.75pt;margin-top:0.05pt;height:13.8pt;width:12.05pt;mso-wrap-distance-bottom:0pt;mso-wrap-distance-left:9pt;mso-wrap-distance-right:9pt;mso-wrap-distance-top:0pt;mso-wrap-style:none;z-index:251659264;mso-width-relative:page;mso-height-relative:page;" filled="f" stroked="f" coordsize="21600,21600" o:gfxdata="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1t/Z9QAAAAHAQAADwAAAAAAAAABACAAAAAiAAAAZHJzL2Rv&#10;d25yZXYueG1sUEsBAhQAFAAAAAgAh07iQHbV6UvMAQAAjwMAAA4AAAAAAAAAAQAgAAAAIwEAAGRy&#10;cy9lMm9Eb2MueG1sUEsFBgAAAAAGAAYAWQEAAGEFAAAAAAAA&#10;">
              <v:fill on="f" focussize="0,0"/>
              <v:stroke on="f"/>
              <v:imagedata o:title=""/>
              <o:lock v:ext="edit" aspectratio="f"/>
              <v:textbox inset="0mm,0mm,0mm,0mm" style="mso-fit-shape-to-text:t;">
                <w:txbxContent>
                  <w:p>
                    <w:pPr/>
                    <w:r>
                      <w:fldChar w:fldCharType="begin"/>
                    </w:r>
                    <w:r>
                      <w:instrText xml:space="preserve"> PAGE </w:instrText>
                    </w:r>
                    <w:r>
                      <w:fldChar w:fldCharType="separate"/>
                    </w:r>
                    <w:r>
                      <w:t>66</w:t>
                    </w:r>
                    <w: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right" w:pos="9072"/>
      </w:tabs>
      <w:rPr>
        <w:color w:val="000000"/>
      </w:rPr>
    </w:pPr>
    <w:r>
      <mc:AlternateContent>
        <mc:Choice Requires="wps">
          <w:drawing>
            <wp:anchor distT="0" distB="0" distL="114300" distR="114300" simplePos="0" relativeHeight="251660288" behindDoc="0" locked="0" layoutInCell="1" allowOverlap="1">
              <wp:simplePos x="0" y="0"/>
              <wp:positionH relativeFrom="column">
                <wp:posOffset>2943225</wp:posOffset>
              </wp:positionH>
              <wp:positionV relativeFrom="paragraph">
                <wp:posOffset>635</wp:posOffset>
              </wp:positionV>
              <wp:extent cx="229235" cy="17526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229235" cy="175260"/>
                      </a:xfrm>
                      <a:prstGeom prst="rect">
                        <a:avLst/>
                      </a:prstGeom>
                      <a:noFill/>
                      <a:ln>
                        <a:noFill/>
                        <a:prstDash val="solid"/>
                      </a:ln>
                    </wps:spPr>
                    <wps:txbx>
                      <w:txbxContent>
                        <w:p>
                          <w:pPr/>
                          <w:r>
                            <w:fldChar w:fldCharType="begin"/>
                          </w:r>
                          <w:r>
                            <w:instrText xml:space="preserve"> PAGE </w:instrText>
                          </w:r>
                          <w:r>
                            <w:fldChar w:fldCharType="separate"/>
                          </w:r>
                          <w:r>
                            <w:t>178</w:t>
                          </w:r>
                          <w:r>
                            <w:fldChar w:fldCharType="end"/>
                          </w:r>
                        </w:p>
                      </w:txbxContent>
                    </wps:txbx>
                    <wps:bodyPr vert="horz" wrap="none" lIns="0" tIns="0" rIns="0" bIns="0" anchor="t" anchorCtr="0" compatLnSpc="0">
                      <a:spAutoFit/>
                    </wps:bodyPr>
                  </wps:wsp>
                </a:graphicData>
              </a:graphic>
            </wp:anchor>
          </w:drawing>
        </mc:Choice>
        <mc:Fallback>
          <w:pict>
            <v:shape id="_x0000_s1026" o:spid="_x0000_s1026" o:spt="202" type="#_x0000_t202" style="position:absolute;left:0pt;margin-left:231.75pt;margin-top:0.05pt;height:13.8pt;width:18.05pt;mso-wrap-distance-bottom:0pt;mso-wrap-distance-left:9pt;mso-wrap-distance-right:9pt;mso-wrap-distance-top:0pt;mso-wrap-style:none;z-index:251660288;mso-width-relative:page;mso-height-relative:page;" filled="f" stroked="f" coordsize="21600,21600" o:gfxdata="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wZkLLUAAAABwEAAA8AAAAAAAAAAQAgAAAAIgAAAGRycy9k&#10;b3ducmV2LnhtbFBLAQIUABQAAAAIAIdO4kC7z/HnzQEAAI8DAAAOAAAAAAAAAAEAIAAAACMBAABk&#10;cnMvZTJvRG9jLnhtbFBLBQYAAAAABgAGAFkBAABiBQAAAAAA&#10;">
              <v:fill on="f" focussize="0,0"/>
              <v:stroke on="f"/>
              <v:imagedata o:title=""/>
              <o:lock v:ext="edit" aspectratio="f"/>
              <v:textbox inset="0mm,0mm,0mm,0mm" style="mso-fit-shape-to-text:t;">
                <w:txbxContent>
                  <w:p>
                    <w:pPr/>
                    <w:r>
                      <w:fldChar w:fldCharType="begin"/>
                    </w:r>
                    <w:r>
                      <w:instrText xml:space="preserve"> PAGE </w:instrText>
                    </w:r>
                    <w:r>
                      <w:fldChar w:fldCharType="separate"/>
                    </w:r>
                    <w:r>
                      <w:t>178</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right" w:pos="9072"/>
      </w:tabs>
      <w:rPr>
        <w:color w:val="000000"/>
      </w:rPr>
    </w:pPr>
    <w:r>
      <mc:AlternateContent>
        <mc:Choice Requires="wps">
          <w:drawing>
            <wp:anchor distT="0" distB="0" distL="114300" distR="114300" simplePos="0" relativeHeight="251658240" behindDoc="0" locked="0" layoutInCell="1" allowOverlap="1">
              <wp:simplePos x="0" y="0"/>
              <wp:positionH relativeFrom="column">
                <wp:posOffset>2893060</wp:posOffset>
              </wp:positionH>
              <wp:positionV relativeFrom="paragraph">
                <wp:posOffset>635</wp:posOffset>
              </wp:positionV>
              <wp:extent cx="297815" cy="290830"/>
              <wp:effectExtent l="0" t="0" r="6985" b="13970"/>
              <wp:wrapSquare wrapText="bothSides"/>
              <wp:docPr id="14" name="Zone de texte 3"/>
              <wp:cNvGraphicFramePr/>
              <a:graphic xmlns:a="http://schemas.openxmlformats.org/drawingml/2006/main">
                <a:graphicData uri="http://schemas.microsoft.com/office/word/2010/wordprocessingShape">
                  <wps:wsp>
                    <wps:cNvSpPr txBox="1"/>
                    <wps:spPr>
                      <a:xfrm>
                        <a:off x="0" y="0"/>
                        <a:ext cx="297815" cy="290830"/>
                      </a:xfrm>
                      <a:prstGeom prst="rect">
                        <a:avLst/>
                      </a:prstGeom>
                      <a:noFill/>
                      <a:ln>
                        <a:noFill/>
                        <a:prstDash val="solid"/>
                      </a:ln>
                    </wps:spPr>
                    <wps:txbx>
                      <w:txbxContent>
                        <w:p>
                          <w:pPr>
                            <w:ind w:right="360"/>
                          </w:pPr>
                        </w:p>
                      </w:txbxContent>
                    </wps:txbx>
                    <wps:bodyPr vert="horz" wrap="none" lIns="0" tIns="0" rIns="0" bIns="0" anchor="t" anchorCtr="0" compatLnSpc="0">
                      <a:spAutoFit/>
                    </wps:bodyPr>
                  </wps:wsp>
                </a:graphicData>
              </a:graphic>
            </wp:anchor>
          </w:drawing>
        </mc:Choice>
        <mc:Fallback>
          <w:pict>
            <v:shape id="Zone de texte 3" o:spid="_x0000_s1026" o:spt="202" type="#_x0000_t202" style="position:absolute;left:0pt;margin-left:227.8pt;margin-top:0.05pt;height:22.9pt;width:23.45pt;mso-wrap-distance-bottom:0pt;mso-wrap-distance-left:9pt;mso-wrap-distance-right:9pt;mso-wrap-distance-top:0pt;mso-wrap-style:none;z-index:251658240;mso-width-relative:page;mso-height-relative:page;" filled="f" stroked="f" coordsize="21600,21600" o:gfxdata="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LIaWNIAAAAHAQAADwAAAAAAAAABACAAAAAiAAAAZHJzL2Rv&#10;d25yZXYueG1sUEsBAhQAFAAAAAgAh07iQGZ/78fOAQAAkAMAAA4AAAAAAAAAAQAgAAAAIQEAAGRy&#10;cy9lMm9Eb2MueG1sUEsFBgAAAAAGAAYAWQEAAGEFAAAAAAAA&#10;">
              <v:fill on="f" focussize="0,0"/>
              <v:stroke on="f"/>
              <v:imagedata o:title=""/>
              <o:lock v:ext="edit" aspectratio="f"/>
              <v:textbox inset="0mm,0mm,0mm,0mm" style="mso-fit-shape-to-text:t;">
                <w:txbxContent>
                  <w:p>
                    <w:pPr>
                      <w:ind w:right="360"/>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000000" w:sz="6" w:space="1"/>
      </w:pBdr>
      <w:tabs>
        <w:tab w:val="center" w:pos="4536"/>
        <w:tab w:val="right" w:pos="9072"/>
        <w:tab w:val="right" w:pos="9090"/>
      </w:tabs>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end"/>
    </w:r>
    <w:r>
      <w:rPr>
        <w:color w:val="000000"/>
        <w:sz w:val="20"/>
        <w:szCs w:val="20"/>
      </w:rPr>
      <w:tab/>
    </w:r>
    <w:r>
      <w:rPr>
        <w:color w:val="000000"/>
        <w:sz w:val="20"/>
        <w:szCs w:val="20"/>
      </w:rPr>
      <w:t>Section 4. Proposition technique - Tableaux type</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8E6"/>
    <w:multiLevelType w:val="multilevel"/>
    <w:tmpl w:val="000438E6"/>
    <w:lvl w:ilvl="0" w:tentative="0">
      <w:start w:val="1"/>
      <w:numFmt w:val="decimal"/>
      <w:lvlText w:val="%1."/>
      <w:lvlJc w:val="left"/>
      <w:pPr>
        <w:ind w:left="720" w:hanging="360"/>
      </w:pPr>
      <w:rPr>
        <w:rFonts w:ascii="Arial" w:hAnsi="Arial" w:eastAsia="Arial" w:cs="Arial"/>
        <w:b/>
        <w:sz w:val="22"/>
        <w:szCs w:val="22"/>
      </w:rPr>
    </w:lvl>
    <w:lvl w:ilvl="1" w:tentative="0">
      <w:start w:val="1"/>
      <w:numFmt w:val="decimal"/>
      <w:lvlText w:val="%1.%2."/>
      <w:lvlJc w:val="left"/>
      <w:pPr>
        <w:ind w:left="576" w:hanging="576"/>
      </w:pPr>
      <w:rPr>
        <w:rFonts w:ascii="Times New Roman" w:hAnsi="Times New Roman" w:eastAsia="Times New Roman" w:cs="Times New Roman"/>
        <w:i w:val="0"/>
      </w:rPr>
    </w:lvl>
    <w:lvl w:ilvl="2" w:tentative="0">
      <w:start w:val="1"/>
      <w:numFmt w:val="decimal"/>
      <w:lvlText w:val="%1.%2.%3."/>
      <w:lvlJc w:val="left"/>
      <w:pPr>
        <w:ind w:left="1080" w:hanging="720"/>
      </w:pPr>
      <w:rPr>
        <w:i w:val="0"/>
      </w:rPr>
    </w:lvl>
    <w:lvl w:ilvl="3" w:tentative="0">
      <w:start w:val="1"/>
      <w:numFmt w:val="decimal"/>
      <w:lvlText w:val="%1.%2.%3.%4."/>
      <w:lvlJc w:val="left"/>
      <w:pPr>
        <w:ind w:left="1080" w:hanging="720"/>
      </w:pPr>
      <w:rPr>
        <w:i w:val="0"/>
      </w:rPr>
    </w:lvl>
    <w:lvl w:ilvl="4" w:tentative="0">
      <w:start w:val="1"/>
      <w:numFmt w:val="decimal"/>
      <w:lvlText w:val="%1.%2.%3.%4.%5."/>
      <w:lvlJc w:val="left"/>
      <w:pPr>
        <w:ind w:left="1440" w:hanging="1080"/>
      </w:pPr>
      <w:rPr>
        <w:i w:val="0"/>
      </w:rPr>
    </w:lvl>
    <w:lvl w:ilvl="5" w:tentative="0">
      <w:start w:val="1"/>
      <w:numFmt w:val="decimal"/>
      <w:lvlText w:val="%1.%2.%3.%4.%5.%6."/>
      <w:lvlJc w:val="left"/>
      <w:pPr>
        <w:ind w:left="1440" w:hanging="1080"/>
      </w:pPr>
      <w:rPr>
        <w:i w:val="0"/>
      </w:rPr>
    </w:lvl>
    <w:lvl w:ilvl="6" w:tentative="0">
      <w:start w:val="1"/>
      <w:numFmt w:val="decimal"/>
      <w:lvlText w:val="%1.%2.%3.%4.%5.%6.%7."/>
      <w:lvlJc w:val="left"/>
      <w:pPr>
        <w:ind w:left="1800" w:hanging="1440"/>
      </w:pPr>
      <w:rPr>
        <w:i w:val="0"/>
      </w:rPr>
    </w:lvl>
    <w:lvl w:ilvl="7" w:tentative="0">
      <w:start w:val="1"/>
      <w:numFmt w:val="decimal"/>
      <w:lvlText w:val="%1.%2.%3.%4.%5.%6.%7.%8."/>
      <w:lvlJc w:val="left"/>
      <w:pPr>
        <w:ind w:left="1800" w:hanging="1440"/>
      </w:pPr>
      <w:rPr>
        <w:i w:val="0"/>
      </w:rPr>
    </w:lvl>
    <w:lvl w:ilvl="8" w:tentative="0">
      <w:start w:val="1"/>
      <w:numFmt w:val="decimal"/>
      <w:lvlText w:val="%1.%2.%3.%4.%5.%6.%7.%8.%9."/>
      <w:lvlJc w:val="left"/>
      <w:pPr>
        <w:ind w:left="2160" w:hanging="1800"/>
      </w:pPr>
      <w:rPr>
        <w:i w:val="0"/>
      </w:rPr>
    </w:lvl>
  </w:abstractNum>
  <w:abstractNum w:abstractNumId="1">
    <w:nsid w:val="056E00A0"/>
    <w:multiLevelType w:val="multilevel"/>
    <w:tmpl w:val="056E00A0"/>
    <w:lvl w:ilvl="0" w:tentative="0">
      <w:start w:val="1"/>
      <w:numFmt w:val="lowerLetter"/>
      <w:lvlText w:val="%1)"/>
      <w:lvlJc w:val="left"/>
      <w:pPr>
        <w:ind w:left="857" w:hanging="360"/>
      </w:pPr>
    </w:lvl>
    <w:lvl w:ilvl="1" w:tentative="0">
      <w:start w:val="1"/>
      <w:numFmt w:val="lowerLetter"/>
      <w:lvlText w:val="%2."/>
      <w:lvlJc w:val="left"/>
      <w:pPr>
        <w:ind w:left="1577" w:hanging="360"/>
      </w:pPr>
    </w:lvl>
    <w:lvl w:ilvl="2" w:tentative="0">
      <w:start w:val="1"/>
      <w:numFmt w:val="lowerRoman"/>
      <w:lvlText w:val="%3."/>
      <w:lvlJc w:val="right"/>
      <w:pPr>
        <w:ind w:left="2297" w:hanging="180"/>
      </w:pPr>
    </w:lvl>
    <w:lvl w:ilvl="3" w:tentative="0">
      <w:start w:val="1"/>
      <w:numFmt w:val="decimal"/>
      <w:lvlText w:val="%4."/>
      <w:lvlJc w:val="left"/>
      <w:pPr>
        <w:ind w:left="3017" w:hanging="360"/>
      </w:pPr>
    </w:lvl>
    <w:lvl w:ilvl="4" w:tentative="0">
      <w:start w:val="1"/>
      <w:numFmt w:val="lowerLetter"/>
      <w:lvlText w:val="%5."/>
      <w:lvlJc w:val="left"/>
      <w:pPr>
        <w:ind w:left="3737" w:hanging="360"/>
      </w:pPr>
    </w:lvl>
    <w:lvl w:ilvl="5" w:tentative="0">
      <w:start w:val="1"/>
      <w:numFmt w:val="lowerRoman"/>
      <w:lvlText w:val="%6."/>
      <w:lvlJc w:val="right"/>
      <w:pPr>
        <w:ind w:left="4457" w:hanging="180"/>
      </w:pPr>
    </w:lvl>
    <w:lvl w:ilvl="6" w:tentative="0">
      <w:start w:val="1"/>
      <w:numFmt w:val="decimal"/>
      <w:lvlText w:val="%7."/>
      <w:lvlJc w:val="left"/>
      <w:pPr>
        <w:ind w:left="5177" w:hanging="360"/>
      </w:pPr>
    </w:lvl>
    <w:lvl w:ilvl="7" w:tentative="0">
      <w:start w:val="1"/>
      <w:numFmt w:val="lowerLetter"/>
      <w:lvlText w:val="%8."/>
      <w:lvlJc w:val="left"/>
      <w:pPr>
        <w:ind w:left="5897" w:hanging="360"/>
      </w:pPr>
    </w:lvl>
    <w:lvl w:ilvl="8" w:tentative="0">
      <w:start w:val="1"/>
      <w:numFmt w:val="lowerRoman"/>
      <w:lvlText w:val="%9."/>
      <w:lvlJc w:val="right"/>
      <w:pPr>
        <w:ind w:left="6617" w:hanging="180"/>
      </w:pPr>
    </w:lvl>
  </w:abstractNum>
  <w:abstractNum w:abstractNumId="2">
    <w:nsid w:val="059565E2"/>
    <w:multiLevelType w:val="multilevel"/>
    <w:tmpl w:val="059565E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6727E23"/>
    <w:multiLevelType w:val="multilevel"/>
    <w:tmpl w:val="06727E23"/>
    <w:lvl w:ilvl="0" w:tentative="0">
      <w:start w:val="1"/>
      <w:numFmt w:val="lowerLetter"/>
      <w:lvlText w:val="%1)"/>
      <w:lvlJc w:val="left"/>
      <w:pPr>
        <w:ind w:left="720" w:hanging="36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684261C"/>
    <w:multiLevelType w:val="multilevel"/>
    <w:tmpl w:val="0684261C"/>
    <w:lvl w:ilvl="0" w:tentative="0">
      <w:start w:val="16"/>
      <w:numFmt w:val="bullet"/>
      <w:lvlText w:val="-"/>
      <w:lvlJc w:val="left"/>
      <w:pPr>
        <w:tabs>
          <w:tab w:val="left" w:pos="450"/>
        </w:tabs>
        <w:ind w:left="450" w:hanging="450"/>
      </w:pPr>
      <w:rPr>
        <w:rFonts w:hint="default" w:ascii="Times New Roman" w:hAnsi="Times New Roman" w:eastAsia="Arial Unicode MS" w:cs="Times New Roman"/>
        <w:lang w:val="fr-FR"/>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7B71582"/>
    <w:multiLevelType w:val="multilevel"/>
    <w:tmpl w:val="07B71582"/>
    <w:lvl w:ilvl="0" w:tentative="0">
      <w:start w:val="1"/>
      <w:numFmt w:val="bullet"/>
      <w:lvlText w:val=""/>
      <w:lvlJc w:val="left"/>
      <w:pPr>
        <w:ind w:left="851" w:hanging="360"/>
      </w:pPr>
      <w:rPr>
        <w:rFonts w:hint="default" w:ascii="Wingdings" w:hAnsi="Wingdings"/>
      </w:rPr>
    </w:lvl>
    <w:lvl w:ilvl="1" w:tentative="0">
      <w:start w:val="1"/>
      <w:numFmt w:val="bullet"/>
      <w:lvlText w:val="o"/>
      <w:lvlJc w:val="left"/>
      <w:pPr>
        <w:ind w:left="1571" w:hanging="360"/>
      </w:pPr>
      <w:rPr>
        <w:rFonts w:hint="default" w:ascii="Courier New" w:hAnsi="Courier New" w:cs="Courier New"/>
      </w:rPr>
    </w:lvl>
    <w:lvl w:ilvl="2" w:tentative="0">
      <w:start w:val="1"/>
      <w:numFmt w:val="bullet"/>
      <w:lvlText w:val=""/>
      <w:lvlJc w:val="left"/>
      <w:pPr>
        <w:ind w:left="2291" w:hanging="360"/>
      </w:pPr>
      <w:rPr>
        <w:rFonts w:hint="default" w:ascii="Wingdings" w:hAnsi="Wingdings"/>
      </w:rPr>
    </w:lvl>
    <w:lvl w:ilvl="3" w:tentative="0">
      <w:start w:val="1"/>
      <w:numFmt w:val="bullet"/>
      <w:lvlText w:val=""/>
      <w:lvlJc w:val="left"/>
      <w:pPr>
        <w:ind w:left="3011" w:hanging="360"/>
      </w:pPr>
      <w:rPr>
        <w:rFonts w:hint="default" w:ascii="Symbol" w:hAnsi="Symbol"/>
      </w:rPr>
    </w:lvl>
    <w:lvl w:ilvl="4" w:tentative="0">
      <w:start w:val="1"/>
      <w:numFmt w:val="bullet"/>
      <w:lvlText w:val="o"/>
      <w:lvlJc w:val="left"/>
      <w:pPr>
        <w:ind w:left="3731" w:hanging="360"/>
      </w:pPr>
      <w:rPr>
        <w:rFonts w:hint="default" w:ascii="Courier New" w:hAnsi="Courier New" w:cs="Courier New"/>
      </w:rPr>
    </w:lvl>
    <w:lvl w:ilvl="5" w:tentative="0">
      <w:start w:val="1"/>
      <w:numFmt w:val="bullet"/>
      <w:lvlText w:val=""/>
      <w:lvlJc w:val="left"/>
      <w:pPr>
        <w:ind w:left="4451" w:hanging="360"/>
      </w:pPr>
      <w:rPr>
        <w:rFonts w:hint="default" w:ascii="Wingdings" w:hAnsi="Wingdings"/>
      </w:rPr>
    </w:lvl>
    <w:lvl w:ilvl="6" w:tentative="0">
      <w:start w:val="1"/>
      <w:numFmt w:val="bullet"/>
      <w:lvlText w:val=""/>
      <w:lvlJc w:val="left"/>
      <w:pPr>
        <w:ind w:left="5171" w:hanging="360"/>
      </w:pPr>
      <w:rPr>
        <w:rFonts w:hint="default" w:ascii="Symbol" w:hAnsi="Symbol"/>
      </w:rPr>
    </w:lvl>
    <w:lvl w:ilvl="7" w:tentative="0">
      <w:start w:val="1"/>
      <w:numFmt w:val="bullet"/>
      <w:lvlText w:val="o"/>
      <w:lvlJc w:val="left"/>
      <w:pPr>
        <w:ind w:left="5891" w:hanging="360"/>
      </w:pPr>
      <w:rPr>
        <w:rFonts w:hint="default" w:ascii="Courier New" w:hAnsi="Courier New" w:cs="Courier New"/>
      </w:rPr>
    </w:lvl>
    <w:lvl w:ilvl="8" w:tentative="0">
      <w:start w:val="1"/>
      <w:numFmt w:val="bullet"/>
      <w:lvlText w:val=""/>
      <w:lvlJc w:val="left"/>
      <w:pPr>
        <w:ind w:left="6611" w:hanging="360"/>
      </w:pPr>
      <w:rPr>
        <w:rFonts w:hint="default" w:ascii="Wingdings" w:hAnsi="Wingdings"/>
      </w:rPr>
    </w:lvl>
  </w:abstractNum>
  <w:abstractNum w:abstractNumId="6">
    <w:nsid w:val="09F35333"/>
    <w:multiLevelType w:val="multilevel"/>
    <w:tmpl w:val="09F3533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A6767A"/>
    <w:multiLevelType w:val="multilevel"/>
    <w:tmpl w:val="0CA6767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CA70D76"/>
    <w:multiLevelType w:val="multilevel"/>
    <w:tmpl w:val="0CA70D7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CAD09A9"/>
    <w:multiLevelType w:val="multilevel"/>
    <w:tmpl w:val="0CAD09A9"/>
    <w:lvl w:ilvl="0" w:tentative="0">
      <w:start w:val="2"/>
      <w:numFmt w:val="bullet"/>
      <w:lvlText w:val="-"/>
      <w:lvlJc w:val="left"/>
      <w:pPr>
        <w:ind w:left="1440" w:hanging="360"/>
      </w:pPr>
      <w:rPr>
        <w:rFonts w:ascii="Arial" w:hAnsi="Arial" w:eastAsia="Arial" w:cs="Arial"/>
        <w:b/>
        <w:sz w:val="24"/>
        <w:szCs w:val="24"/>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10">
    <w:nsid w:val="0EB443DC"/>
    <w:multiLevelType w:val="multilevel"/>
    <w:tmpl w:val="0EB443DC"/>
    <w:lvl w:ilvl="0" w:tentative="0">
      <w:start w:val="6"/>
      <w:numFmt w:val="bullet"/>
      <w:lvlText w:val="-"/>
      <w:lvlJc w:val="left"/>
      <w:pPr>
        <w:ind w:left="720" w:hanging="36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0F6078B1"/>
    <w:multiLevelType w:val="multilevel"/>
    <w:tmpl w:val="0F6078B1"/>
    <w:lvl w:ilvl="0" w:tentative="0">
      <w:start w:val="0"/>
      <w:numFmt w:val="bullet"/>
      <w:lvlText w:val="-"/>
      <w:lvlJc w:val="left"/>
      <w:pPr>
        <w:ind w:left="720" w:hanging="360"/>
      </w:pPr>
      <w:rPr>
        <w:rFonts w:ascii="Arial" w:hAnsi="Arial" w:eastAsia="Arial" w:cs="Arial"/>
        <w:color w:val="000000"/>
        <w:sz w:val="24"/>
        <w:szCs w:val="24"/>
      </w:rPr>
    </w:lvl>
    <w:lvl w:ilvl="1" w:tentative="0">
      <w:start w:val="0"/>
      <w:numFmt w:val="bullet"/>
      <w:lvlText w:val="o"/>
      <w:lvlJc w:val="left"/>
      <w:pPr>
        <w:ind w:left="1440" w:hanging="360"/>
      </w:pPr>
      <w:rPr>
        <w:rFonts w:ascii="Courier New" w:hAnsi="Courier New" w:eastAsia="Courier New" w:cs="Courier New"/>
      </w:rPr>
    </w:lvl>
    <w:lvl w:ilvl="2" w:tentative="0">
      <w:start w:val="0"/>
      <w:numFmt w:val="bullet"/>
      <w:lvlText w:val="▪"/>
      <w:lvlJc w:val="left"/>
      <w:pPr>
        <w:ind w:left="2160" w:hanging="360"/>
      </w:pPr>
      <w:rPr>
        <w:rFonts w:ascii="Noto Sans Symbols" w:hAnsi="Noto Sans Symbols" w:eastAsia="Noto Sans Symbols" w:cs="Noto Sans Symbols"/>
      </w:rPr>
    </w:lvl>
    <w:lvl w:ilvl="3" w:tentative="0">
      <w:start w:val="0"/>
      <w:numFmt w:val="bullet"/>
      <w:lvlText w:val="●"/>
      <w:lvlJc w:val="left"/>
      <w:pPr>
        <w:ind w:left="2880" w:hanging="360"/>
      </w:pPr>
      <w:rPr>
        <w:rFonts w:ascii="Noto Sans Symbols" w:hAnsi="Noto Sans Symbols" w:eastAsia="Noto Sans Symbols" w:cs="Noto Sans Symbols"/>
      </w:rPr>
    </w:lvl>
    <w:lvl w:ilvl="4" w:tentative="0">
      <w:start w:val="0"/>
      <w:numFmt w:val="bullet"/>
      <w:lvlText w:val="o"/>
      <w:lvlJc w:val="left"/>
      <w:pPr>
        <w:ind w:left="3600" w:hanging="360"/>
      </w:pPr>
      <w:rPr>
        <w:rFonts w:ascii="Courier New" w:hAnsi="Courier New" w:eastAsia="Courier New" w:cs="Courier New"/>
      </w:rPr>
    </w:lvl>
    <w:lvl w:ilvl="5" w:tentative="0">
      <w:start w:val="0"/>
      <w:numFmt w:val="bullet"/>
      <w:lvlText w:val="▪"/>
      <w:lvlJc w:val="left"/>
      <w:pPr>
        <w:ind w:left="4320" w:hanging="360"/>
      </w:pPr>
      <w:rPr>
        <w:rFonts w:ascii="Noto Sans Symbols" w:hAnsi="Noto Sans Symbols" w:eastAsia="Noto Sans Symbols" w:cs="Noto Sans Symbols"/>
      </w:rPr>
    </w:lvl>
    <w:lvl w:ilvl="6" w:tentative="0">
      <w:start w:val="0"/>
      <w:numFmt w:val="bullet"/>
      <w:lvlText w:val="●"/>
      <w:lvlJc w:val="left"/>
      <w:pPr>
        <w:ind w:left="5040" w:hanging="360"/>
      </w:pPr>
      <w:rPr>
        <w:rFonts w:ascii="Noto Sans Symbols" w:hAnsi="Noto Sans Symbols" w:eastAsia="Noto Sans Symbols" w:cs="Noto Sans Symbols"/>
      </w:rPr>
    </w:lvl>
    <w:lvl w:ilvl="7" w:tentative="0">
      <w:start w:val="0"/>
      <w:numFmt w:val="bullet"/>
      <w:lvlText w:val="o"/>
      <w:lvlJc w:val="left"/>
      <w:pPr>
        <w:ind w:left="5760" w:hanging="360"/>
      </w:pPr>
      <w:rPr>
        <w:rFonts w:ascii="Courier New" w:hAnsi="Courier New" w:eastAsia="Courier New" w:cs="Courier New"/>
      </w:rPr>
    </w:lvl>
    <w:lvl w:ilvl="8" w:tentative="0">
      <w:start w:val="0"/>
      <w:numFmt w:val="bullet"/>
      <w:lvlText w:val="▪"/>
      <w:lvlJc w:val="left"/>
      <w:pPr>
        <w:ind w:left="6480" w:hanging="360"/>
      </w:pPr>
      <w:rPr>
        <w:rFonts w:ascii="Noto Sans Symbols" w:hAnsi="Noto Sans Symbols" w:eastAsia="Noto Sans Symbols" w:cs="Noto Sans Symbols"/>
      </w:rPr>
    </w:lvl>
  </w:abstractNum>
  <w:abstractNum w:abstractNumId="12">
    <w:nsid w:val="0F6968B0"/>
    <w:multiLevelType w:val="multilevel"/>
    <w:tmpl w:val="0F6968B0"/>
    <w:lvl w:ilvl="0" w:tentative="0">
      <w:start w:val="1"/>
      <w:numFmt w:val="bullet"/>
      <w:lvlText w:val="●"/>
      <w:lvlJc w:val="left"/>
      <w:pPr>
        <w:ind w:left="720" w:hanging="360"/>
      </w:pPr>
      <w:rPr>
        <w:rFonts w:ascii="Noto Sans Symbols" w:hAnsi="Noto Sans Symbols" w:eastAsia="Noto Sans Symbols" w:cs="Noto Sans Symbols"/>
        <w:color w:val="000000"/>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0F9B5513"/>
    <w:multiLevelType w:val="multilevel"/>
    <w:tmpl w:val="0F9B5513"/>
    <w:lvl w:ilvl="0" w:tentative="0">
      <w:start w:val="1"/>
      <w:numFmt w:val="bullet"/>
      <w:lvlText w:val=""/>
      <w:lvlJc w:val="left"/>
      <w:pPr>
        <w:tabs>
          <w:tab w:val="left" w:pos="1776"/>
        </w:tabs>
        <w:ind w:left="1776" w:hanging="360"/>
      </w:pPr>
      <w:rPr>
        <w:rFonts w:hint="default" w:ascii="Symbol" w:hAnsi="Symbol"/>
      </w:rPr>
    </w:lvl>
    <w:lvl w:ilvl="1" w:tentative="0">
      <w:start w:val="0"/>
      <w:numFmt w:val="none"/>
      <w:lvlText w:val="-"/>
      <w:legacy w:legacy="1" w:legacySpace="120" w:legacyIndent="360"/>
      <w:lvlJc w:val="left"/>
      <w:pPr>
        <w:ind w:left="2496" w:hanging="360"/>
      </w:pPr>
    </w:lvl>
    <w:lvl w:ilvl="2" w:tentative="0">
      <w:start w:val="1"/>
      <w:numFmt w:val="lowerLetter"/>
      <w:lvlText w:val="%3)"/>
      <w:legacy w:legacy="1" w:legacySpace="120" w:legacyIndent="360"/>
      <w:lvlJc w:val="left"/>
      <w:pPr>
        <w:ind w:left="2856" w:hanging="360"/>
      </w:pPr>
      <w:rPr>
        <w:b/>
      </w:rPr>
    </w:lvl>
    <w:lvl w:ilvl="3" w:tentative="0">
      <w:start w:val="500"/>
      <w:numFmt w:val="none"/>
      <w:lvlText w:val="·"/>
      <w:legacy w:legacy="1" w:legacySpace="120" w:legacyIndent="360"/>
      <w:lvlJc w:val="left"/>
      <w:pPr>
        <w:ind w:left="3216" w:hanging="360"/>
      </w:pPr>
    </w:lvl>
    <w:lvl w:ilvl="4" w:tentative="0">
      <w:start w:val="1"/>
      <w:numFmt w:val="lowerLetter"/>
      <w:lvlText w:val="%5."/>
      <w:legacy w:legacy="1" w:legacySpace="120" w:legacyIndent="360"/>
      <w:lvlJc w:val="left"/>
      <w:pPr>
        <w:ind w:left="3576" w:hanging="360"/>
      </w:pPr>
    </w:lvl>
    <w:lvl w:ilvl="5" w:tentative="0">
      <w:start w:val="1"/>
      <w:numFmt w:val="lowerRoman"/>
      <w:lvlText w:val="%6."/>
      <w:legacy w:legacy="1" w:legacySpace="120" w:legacyIndent="180"/>
      <w:lvlJc w:val="left"/>
      <w:pPr>
        <w:ind w:left="3756" w:hanging="180"/>
      </w:pPr>
    </w:lvl>
    <w:lvl w:ilvl="6" w:tentative="0">
      <w:start w:val="1"/>
      <w:numFmt w:val="decimal"/>
      <w:lvlText w:val="%7."/>
      <w:legacy w:legacy="1" w:legacySpace="120" w:legacyIndent="360"/>
      <w:lvlJc w:val="left"/>
      <w:pPr>
        <w:ind w:left="4116" w:hanging="360"/>
      </w:pPr>
    </w:lvl>
    <w:lvl w:ilvl="7" w:tentative="0">
      <w:start w:val="1"/>
      <w:numFmt w:val="lowerLetter"/>
      <w:lvlText w:val="%8."/>
      <w:legacy w:legacy="1" w:legacySpace="120" w:legacyIndent="360"/>
      <w:lvlJc w:val="left"/>
      <w:pPr>
        <w:ind w:left="4476" w:hanging="360"/>
      </w:pPr>
    </w:lvl>
    <w:lvl w:ilvl="8" w:tentative="0">
      <w:start w:val="1"/>
      <w:numFmt w:val="lowerRoman"/>
      <w:lvlText w:val="%9."/>
      <w:legacy w:legacy="1" w:legacySpace="120" w:legacyIndent="180"/>
      <w:lvlJc w:val="left"/>
      <w:pPr>
        <w:ind w:left="4656" w:hanging="180"/>
      </w:pPr>
    </w:lvl>
  </w:abstractNum>
  <w:abstractNum w:abstractNumId="14">
    <w:nsid w:val="133639EB"/>
    <w:multiLevelType w:val="multilevel"/>
    <w:tmpl w:val="133639EB"/>
    <w:lvl w:ilvl="0" w:tentative="0">
      <w:start w:val="1"/>
      <w:numFmt w:val="lowerRoman"/>
      <w:lvlText w:val="(%1)"/>
      <w:lvlJc w:val="left"/>
      <w:pPr>
        <w:ind w:left="1140" w:hanging="720"/>
      </w:pPr>
      <w:rPr>
        <w:rFonts w:ascii="Times New Roman" w:hAnsi="Times New Roman" w:eastAsia="Times New Roman" w:cs="Times New Roman"/>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5">
    <w:nsid w:val="136A7483"/>
    <w:multiLevelType w:val="multilevel"/>
    <w:tmpl w:val="136A7483"/>
    <w:lvl w:ilvl="0" w:tentative="0">
      <w:start w:val="33"/>
      <w:numFmt w:val="decimal"/>
      <w:lvlText w:val="%1"/>
      <w:lvlJc w:val="left"/>
      <w:pPr>
        <w:ind w:left="465" w:hanging="465"/>
      </w:pPr>
    </w:lvl>
    <w:lvl w:ilvl="1" w:tentative="0">
      <w:start w:val="2"/>
      <w:numFmt w:val="decimal"/>
      <w:lvlText w:val="%1.%2"/>
      <w:lvlJc w:val="left"/>
      <w:pPr>
        <w:ind w:left="1192" w:hanging="465"/>
      </w:pPr>
    </w:lvl>
    <w:lvl w:ilvl="2" w:tentative="0">
      <w:start w:val="1"/>
      <w:numFmt w:val="decimal"/>
      <w:lvlText w:val="%1.%2.%3"/>
      <w:lvlJc w:val="left"/>
      <w:pPr>
        <w:ind w:left="2174" w:hanging="720"/>
      </w:pPr>
    </w:lvl>
    <w:lvl w:ilvl="3" w:tentative="0">
      <w:start w:val="1"/>
      <w:numFmt w:val="decimal"/>
      <w:lvlText w:val="%1.%2.%3.%4"/>
      <w:lvlJc w:val="left"/>
      <w:pPr>
        <w:ind w:left="3261" w:hanging="1080"/>
      </w:pPr>
    </w:lvl>
    <w:lvl w:ilvl="4" w:tentative="0">
      <w:start w:val="1"/>
      <w:numFmt w:val="decimal"/>
      <w:lvlText w:val="%1.%2.%3.%4.%5"/>
      <w:lvlJc w:val="left"/>
      <w:pPr>
        <w:ind w:left="3988" w:hanging="1080"/>
      </w:pPr>
    </w:lvl>
    <w:lvl w:ilvl="5" w:tentative="0">
      <w:start w:val="1"/>
      <w:numFmt w:val="decimal"/>
      <w:lvlText w:val="%1.%2.%3.%4.%5.%6"/>
      <w:lvlJc w:val="left"/>
      <w:pPr>
        <w:ind w:left="5075" w:hanging="1440"/>
      </w:pPr>
    </w:lvl>
    <w:lvl w:ilvl="6" w:tentative="0">
      <w:start w:val="1"/>
      <w:numFmt w:val="decimal"/>
      <w:lvlText w:val="%1.%2.%3.%4.%5.%6.%7"/>
      <w:lvlJc w:val="left"/>
      <w:pPr>
        <w:ind w:left="5802" w:hanging="1440"/>
      </w:pPr>
    </w:lvl>
    <w:lvl w:ilvl="7" w:tentative="0">
      <w:start w:val="1"/>
      <w:numFmt w:val="decimal"/>
      <w:lvlText w:val="%1.%2.%3.%4.%5.%6.%7.%8"/>
      <w:lvlJc w:val="left"/>
      <w:pPr>
        <w:ind w:left="6889" w:hanging="1800"/>
      </w:pPr>
    </w:lvl>
    <w:lvl w:ilvl="8" w:tentative="0">
      <w:start w:val="1"/>
      <w:numFmt w:val="decimal"/>
      <w:lvlText w:val="%1.%2.%3.%4.%5.%6.%7.%8.%9"/>
      <w:lvlJc w:val="left"/>
      <w:pPr>
        <w:ind w:left="7616" w:hanging="1800"/>
      </w:pPr>
    </w:lvl>
  </w:abstractNum>
  <w:abstractNum w:abstractNumId="16">
    <w:nsid w:val="16CE08B4"/>
    <w:multiLevelType w:val="multilevel"/>
    <w:tmpl w:val="16CE08B4"/>
    <w:lvl w:ilvl="0" w:tentative="0">
      <w:start w:val="1"/>
      <w:numFmt w:val="decimal"/>
      <w:lvlText w:val="%1."/>
      <w:lvlJc w:val="left"/>
      <w:pPr>
        <w:ind w:left="720" w:hanging="360"/>
      </w:pPr>
    </w:lvl>
    <w:lvl w:ilvl="1" w:tentative="0">
      <w:start w:val="3"/>
      <w:numFmt w:val="decimal"/>
      <w:lvlText w:val="%1.%2."/>
      <w:lvlJc w:val="left"/>
      <w:pPr>
        <w:ind w:left="936" w:hanging="576"/>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abstractNum w:abstractNumId="17">
    <w:nsid w:val="17C93C07"/>
    <w:multiLevelType w:val="multilevel"/>
    <w:tmpl w:val="17C93C07"/>
    <w:lvl w:ilvl="0" w:tentative="0">
      <w:start w:val="1"/>
      <w:numFmt w:val="bullet"/>
      <w:lvlText w:val="-"/>
      <w:lvlJc w:val="left"/>
      <w:pPr>
        <w:ind w:left="720" w:hanging="360"/>
      </w:pPr>
      <w:rPr>
        <w:rFonts w:hint="default" w:ascii="Showcard Gothic" w:hAnsi="Showcard Gothic" w:eastAsia="Calibri" w:cs="Times New Roman"/>
        <w:b/>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8691C72"/>
    <w:multiLevelType w:val="multilevel"/>
    <w:tmpl w:val="18691C72"/>
    <w:lvl w:ilvl="0" w:tentative="0">
      <w:start w:val="2"/>
      <w:numFmt w:val="bullet"/>
      <w:lvlText w:val="-"/>
      <w:lvlJc w:val="left"/>
      <w:pPr>
        <w:tabs>
          <w:tab w:val="left" w:pos="786"/>
        </w:tabs>
        <w:ind w:left="786" w:hanging="360"/>
      </w:pPr>
      <w:rPr>
        <w:rFonts w:hint="default" w:ascii="Times New Roman" w:hAnsi="Times New Roman" w:eastAsia="Times New Roman" w:cs="Times New Roman"/>
      </w:rPr>
    </w:lvl>
    <w:lvl w:ilvl="1" w:tentative="0">
      <w:start w:val="1"/>
      <w:numFmt w:val="bullet"/>
      <w:lvlText w:val="o"/>
      <w:lvlJc w:val="left"/>
      <w:pPr>
        <w:tabs>
          <w:tab w:val="left" w:pos="1506"/>
        </w:tabs>
        <w:ind w:left="1506" w:hanging="360"/>
      </w:pPr>
      <w:rPr>
        <w:rFonts w:hint="default" w:ascii="Courier New" w:hAnsi="Courier New" w:cs="Courier New"/>
      </w:rPr>
    </w:lvl>
    <w:lvl w:ilvl="2" w:tentative="0">
      <w:start w:val="1"/>
      <w:numFmt w:val="bullet"/>
      <w:lvlText w:val=""/>
      <w:lvlJc w:val="left"/>
      <w:pPr>
        <w:tabs>
          <w:tab w:val="left" w:pos="2226"/>
        </w:tabs>
        <w:ind w:left="2226" w:hanging="360"/>
      </w:pPr>
      <w:rPr>
        <w:rFonts w:hint="default" w:ascii="Wingdings" w:hAnsi="Wingdings"/>
      </w:rPr>
    </w:lvl>
    <w:lvl w:ilvl="3" w:tentative="0">
      <w:start w:val="1"/>
      <w:numFmt w:val="bullet"/>
      <w:lvlText w:val=""/>
      <w:lvlJc w:val="left"/>
      <w:pPr>
        <w:tabs>
          <w:tab w:val="left" w:pos="2946"/>
        </w:tabs>
        <w:ind w:left="2946" w:hanging="360"/>
      </w:pPr>
      <w:rPr>
        <w:rFonts w:hint="default" w:ascii="Symbol" w:hAnsi="Symbol"/>
      </w:rPr>
    </w:lvl>
    <w:lvl w:ilvl="4" w:tentative="0">
      <w:start w:val="1"/>
      <w:numFmt w:val="bullet"/>
      <w:lvlText w:val="o"/>
      <w:lvlJc w:val="left"/>
      <w:pPr>
        <w:tabs>
          <w:tab w:val="left" w:pos="3666"/>
        </w:tabs>
        <w:ind w:left="3666" w:hanging="360"/>
      </w:pPr>
      <w:rPr>
        <w:rFonts w:hint="default" w:ascii="Courier New" w:hAnsi="Courier New" w:cs="Courier New"/>
      </w:rPr>
    </w:lvl>
    <w:lvl w:ilvl="5" w:tentative="0">
      <w:start w:val="1"/>
      <w:numFmt w:val="bullet"/>
      <w:lvlText w:val=""/>
      <w:lvlJc w:val="left"/>
      <w:pPr>
        <w:tabs>
          <w:tab w:val="left" w:pos="4386"/>
        </w:tabs>
        <w:ind w:left="4386" w:hanging="360"/>
      </w:pPr>
      <w:rPr>
        <w:rFonts w:hint="default" w:ascii="Wingdings" w:hAnsi="Wingdings"/>
      </w:rPr>
    </w:lvl>
    <w:lvl w:ilvl="6" w:tentative="0">
      <w:start w:val="1"/>
      <w:numFmt w:val="bullet"/>
      <w:lvlText w:val=""/>
      <w:lvlJc w:val="left"/>
      <w:pPr>
        <w:tabs>
          <w:tab w:val="left" w:pos="5106"/>
        </w:tabs>
        <w:ind w:left="5106" w:hanging="360"/>
      </w:pPr>
      <w:rPr>
        <w:rFonts w:hint="default" w:ascii="Symbol" w:hAnsi="Symbol"/>
      </w:rPr>
    </w:lvl>
    <w:lvl w:ilvl="7" w:tentative="0">
      <w:start w:val="1"/>
      <w:numFmt w:val="bullet"/>
      <w:lvlText w:val="o"/>
      <w:lvlJc w:val="left"/>
      <w:pPr>
        <w:tabs>
          <w:tab w:val="left" w:pos="5826"/>
        </w:tabs>
        <w:ind w:left="5826" w:hanging="360"/>
      </w:pPr>
      <w:rPr>
        <w:rFonts w:hint="default" w:ascii="Courier New" w:hAnsi="Courier New" w:cs="Courier New"/>
      </w:rPr>
    </w:lvl>
    <w:lvl w:ilvl="8" w:tentative="0">
      <w:start w:val="1"/>
      <w:numFmt w:val="bullet"/>
      <w:lvlText w:val=""/>
      <w:lvlJc w:val="left"/>
      <w:pPr>
        <w:tabs>
          <w:tab w:val="left" w:pos="6546"/>
        </w:tabs>
        <w:ind w:left="6546" w:hanging="360"/>
      </w:pPr>
      <w:rPr>
        <w:rFonts w:hint="default" w:ascii="Wingdings" w:hAnsi="Wingdings"/>
      </w:rPr>
    </w:lvl>
  </w:abstractNum>
  <w:abstractNum w:abstractNumId="19">
    <w:nsid w:val="1B321646"/>
    <w:multiLevelType w:val="multilevel"/>
    <w:tmpl w:val="1B32164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C494624"/>
    <w:multiLevelType w:val="multilevel"/>
    <w:tmpl w:val="1C49462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1">
    <w:nsid w:val="1C657786"/>
    <w:multiLevelType w:val="multilevel"/>
    <w:tmpl w:val="1C657786"/>
    <w:lvl w:ilvl="0" w:tentative="0">
      <w:start w:val="2"/>
      <w:numFmt w:val="bullet"/>
      <w:lvlText w:val="-"/>
      <w:lvlJc w:val="left"/>
      <w:pPr>
        <w:ind w:left="720" w:hanging="360"/>
      </w:pPr>
      <w:rPr>
        <w:rFonts w:ascii="Arial" w:hAnsi="Arial" w:eastAsia="Arial" w:cs="Arial"/>
        <w:b/>
        <w:color w:val="231F20"/>
        <w:sz w:val="24"/>
        <w:szCs w:val="24"/>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2">
    <w:nsid w:val="1F1E7D82"/>
    <w:multiLevelType w:val="multilevel"/>
    <w:tmpl w:val="1F1E7D82"/>
    <w:lvl w:ilvl="0" w:tentative="0">
      <w:start w:val="5"/>
      <w:numFmt w:val="decimal"/>
      <w:lvlText w:val="%1-"/>
      <w:lvlJc w:val="left"/>
      <w:pPr>
        <w:ind w:left="720" w:hanging="360"/>
      </w:pPr>
      <w:rPr>
        <w:rFonts w:hint="default"/>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162730B"/>
    <w:multiLevelType w:val="multilevel"/>
    <w:tmpl w:val="2162730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1D346DB"/>
    <w:multiLevelType w:val="multilevel"/>
    <w:tmpl w:val="21D346D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5">
    <w:nsid w:val="25584D3A"/>
    <w:multiLevelType w:val="multilevel"/>
    <w:tmpl w:val="25584D3A"/>
    <w:lvl w:ilvl="0" w:tentative="0">
      <w:start w:val="1"/>
      <w:numFmt w:val="lowerLetter"/>
      <w:lvlText w:val="%1."/>
      <w:lvlJc w:val="left"/>
      <w:pPr>
        <w:ind w:left="290" w:hanging="171"/>
      </w:pPr>
      <w:rPr>
        <w:color w:val="231F20"/>
        <w:sz w:val="26"/>
        <w:szCs w:val="26"/>
      </w:rPr>
    </w:lvl>
    <w:lvl w:ilvl="1" w:tentative="0">
      <w:start w:val="0"/>
      <w:numFmt w:val="bullet"/>
      <w:lvlText w:val="•"/>
      <w:lvlJc w:val="left"/>
      <w:pPr>
        <w:ind w:left="752" w:hanging="171"/>
      </w:pPr>
    </w:lvl>
    <w:lvl w:ilvl="2" w:tentative="0">
      <w:start w:val="0"/>
      <w:numFmt w:val="bullet"/>
      <w:lvlText w:val="•"/>
      <w:lvlJc w:val="left"/>
      <w:pPr>
        <w:ind w:left="1205" w:hanging="171"/>
      </w:pPr>
    </w:lvl>
    <w:lvl w:ilvl="3" w:tentative="0">
      <w:start w:val="0"/>
      <w:numFmt w:val="bullet"/>
      <w:lvlText w:val="•"/>
      <w:lvlJc w:val="left"/>
      <w:pPr>
        <w:ind w:left="1658" w:hanging="170"/>
      </w:pPr>
    </w:lvl>
    <w:lvl w:ilvl="4" w:tentative="0">
      <w:start w:val="0"/>
      <w:numFmt w:val="bullet"/>
      <w:lvlText w:val="•"/>
      <w:lvlJc w:val="left"/>
      <w:pPr>
        <w:ind w:left="2111" w:hanging="171"/>
      </w:pPr>
    </w:lvl>
    <w:lvl w:ilvl="5" w:tentative="0">
      <w:start w:val="0"/>
      <w:numFmt w:val="bullet"/>
      <w:lvlText w:val="•"/>
      <w:lvlJc w:val="left"/>
      <w:pPr>
        <w:ind w:left="2564" w:hanging="171"/>
      </w:pPr>
    </w:lvl>
    <w:lvl w:ilvl="6" w:tentative="0">
      <w:start w:val="0"/>
      <w:numFmt w:val="bullet"/>
      <w:lvlText w:val="•"/>
      <w:lvlJc w:val="left"/>
      <w:pPr>
        <w:ind w:left="3016" w:hanging="171"/>
      </w:pPr>
    </w:lvl>
    <w:lvl w:ilvl="7" w:tentative="0">
      <w:start w:val="0"/>
      <w:numFmt w:val="bullet"/>
      <w:lvlText w:val="•"/>
      <w:lvlJc w:val="left"/>
      <w:pPr>
        <w:ind w:left="3469" w:hanging="171"/>
      </w:pPr>
    </w:lvl>
    <w:lvl w:ilvl="8" w:tentative="0">
      <w:start w:val="0"/>
      <w:numFmt w:val="bullet"/>
      <w:lvlText w:val="•"/>
      <w:lvlJc w:val="left"/>
      <w:pPr>
        <w:ind w:left="3922" w:hanging="171"/>
      </w:pPr>
    </w:lvl>
  </w:abstractNum>
  <w:abstractNum w:abstractNumId="26">
    <w:nsid w:val="28B14B86"/>
    <w:multiLevelType w:val="multilevel"/>
    <w:tmpl w:val="28B14B86"/>
    <w:lvl w:ilvl="0" w:tentative="0">
      <w:start w:val="1"/>
      <w:numFmt w:val="bullet"/>
      <w:lvlText w:val="▪"/>
      <w:lvlJc w:val="left"/>
      <w:pPr>
        <w:ind w:left="644" w:hanging="359"/>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7">
    <w:nsid w:val="2923527F"/>
    <w:multiLevelType w:val="multilevel"/>
    <w:tmpl w:val="2923527F"/>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28">
    <w:nsid w:val="2A1B0BE8"/>
    <w:multiLevelType w:val="multilevel"/>
    <w:tmpl w:val="2A1B0BE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9">
    <w:nsid w:val="2ED02259"/>
    <w:multiLevelType w:val="multilevel"/>
    <w:tmpl w:val="2ED0225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52A45A5"/>
    <w:multiLevelType w:val="multilevel"/>
    <w:tmpl w:val="352A45A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58626E3"/>
    <w:multiLevelType w:val="multilevel"/>
    <w:tmpl w:val="358626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6186E66"/>
    <w:multiLevelType w:val="multilevel"/>
    <w:tmpl w:val="36186E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6CA2D9D"/>
    <w:multiLevelType w:val="singleLevel"/>
    <w:tmpl w:val="36CA2D9D"/>
    <w:lvl w:ilvl="0" w:tentative="0">
      <w:start w:val="3"/>
      <w:numFmt w:val="bullet"/>
      <w:lvlText w:val="-"/>
      <w:lvlJc w:val="left"/>
      <w:pPr>
        <w:tabs>
          <w:tab w:val="left" w:pos="1068"/>
        </w:tabs>
        <w:ind w:left="1068" w:hanging="360"/>
      </w:pPr>
      <w:rPr>
        <w:rFonts w:hint="default"/>
      </w:rPr>
    </w:lvl>
  </w:abstractNum>
  <w:abstractNum w:abstractNumId="34">
    <w:nsid w:val="38B81B99"/>
    <w:multiLevelType w:val="multilevel"/>
    <w:tmpl w:val="38B81B9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397756DF"/>
    <w:multiLevelType w:val="multilevel"/>
    <w:tmpl w:val="397756DF"/>
    <w:lvl w:ilvl="0" w:tentative="0">
      <w:start w:val="1"/>
      <w:numFmt w:val="lowerLetter"/>
      <w:lvlText w:val="%1."/>
      <w:lvlJc w:val="left"/>
      <w:pPr>
        <w:ind w:left="475" w:hanging="360"/>
      </w:pPr>
    </w:lvl>
    <w:lvl w:ilvl="1" w:tentative="0">
      <w:start w:val="1"/>
      <w:numFmt w:val="lowerLetter"/>
      <w:lvlText w:val="%2."/>
      <w:lvlJc w:val="left"/>
      <w:pPr>
        <w:ind w:left="1195" w:hanging="360"/>
      </w:pPr>
    </w:lvl>
    <w:lvl w:ilvl="2" w:tentative="0">
      <w:start w:val="1"/>
      <w:numFmt w:val="lowerRoman"/>
      <w:lvlText w:val="%3."/>
      <w:lvlJc w:val="right"/>
      <w:pPr>
        <w:ind w:left="1915" w:hanging="180"/>
      </w:pPr>
    </w:lvl>
    <w:lvl w:ilvl="3" w:tentative="0">
      <w:start w:val="1"/>
      <w:numFmt w:val="decimal"/>
      <w:lvlText w:val="%4."/>
      <w:lvlJc w:val="left"/>
      <w:pPr>
        <w:ind w:left="2635" w:hanging="360"/>
      </w:pPr>
    </w:lvl>
    <w:lvl w:ilvl="4" w:tentative="0">
      <w:start w:val="1"/>
      <w:numFmt w:val="lowerLetter"/>
      <w:lvlText w:val="%5."/>
      <w:lvlJc w:val="left"/>
      <w:pPr>
        <w:ind w:left="3355" w:hanging="360"/>
      </w:pPr>
    </w:lvl>
    <w:lvl w:ilvl="5" w:tentative="0">
      <w:start w:val="1"/>
      <w:numFmt w:val="lowerRoman"/>
      <w:lvlText w:val="%6."/>
      <w:lvlJc w:val="right"/>
      <w:pPr>
        <w:ind w:left="4075" w:hanging="180"/>
      </w:pPr>
    </w:lvl>
    <w:lvl w:ilvl="6" w:tentative="0">
      <w:start w:val="1"/>
      <w:numFmt w:val="decimal"/>
      <w:lvlText w:val="%7."/>
      <w:lvlJc w:val="left"/>
      <w:pPr>
        <w:ind w:left="4795" w:hanging="360"/>
      </w:pPr>
    </w:lvl>
    <w:lvl w:ilvl="7" w:tentative="0">
      <w:start w:val="1"/>
      <w:numFmt w:val="lowerLetter"/>
      <w:lvlText w:val="%8."/>
      <w:lvlJc w:val="left"/>
      <w:pPr>
        <w:ind w:left="5515" w:hanging="360"/>
      </w:pPr>
    </w:lvl>
    <w:lvl w:ilvl="8" w:tentative="0">
      <w:start w:val="1"/>
      <w:numFmt w:val="lowerRoman"/>
      <w:lvlText w:val="%9."/>
      <w:lvlJc w:val="right"/>
      <w:pPr>
        <w:ind w:left="6235" w:hanging="180"/>
      </w:pPr>
    </w:lvl>
  </w:abstractNum>
  <w:abstractNum w:abstractNumId="36">
    <w:nsid w:val="3C1F3F96"/>
    <w:multiLevelType w:val="multilevel"/>
    <w:tmpl w:val="3C1F3F9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7">
    <w:nsid w:val="3D506AAB"/>
    <w:multiLevelType w:val="multilevel"/>
    <w:tmpl w:val="3D506AA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3E784009"/>
    <w:multiLevelType w:val="multilevel"/>
    <w:tmpl w:val="3E78400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EAD30AE"/>
    <w:multiLevelType w:val="multilevel"/>
    <w:tmpl w:val="3EAD30AE"/>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40">
    <w:nsid w:val="3F211F43"/>
    <w:multiLevelType w:val="singleLevel"/>
    <w:tmpl w:val="3F211F43"/>
    <w:lvl w:ilvl="0" w:tentative="0">
      <w:start w:val="1"/>
      <w:numFmt w:val="bullet"/>
      <w:lvlText w:val=""/>
      <w:lvlJc w:val="left"/>
      <w:pPr>
        <w:ind w:left="360" w:hanging="360"/>
      </w:pPr>
      <w:rPr>
        <w:rFonts w:hint="default" w:ascii="Symbol" w:hAnsi="Symbol"/>
      </w:rPr>
    </w:lvl>
  </w:abstractNum>
  <w:abstractNum w:abstractNumId="41">
    <w:nsid w:val="47012E7F"/>
    <w:multiLevelType w:val="multilevel"/>
    <w:tmpl w:val="47012E7F"/>
    <w:lvl w:ilvl="0" w:tentative="0">
      <w:start w:val="1"/>
      <w:numFmt w:val="bullet"/>
      <w:lvlText w:val="-"/>
      <w:lvlJc w:val="left"/>
      <w:pPr>
        <w:ind w:left="720" w:hanging="360"/>
      </w:pPr>
      <w:rPr>
        <w:rFonts w:ascii="Twentieth Century" w:hAnsi="Twentieth Century" w:eastAsia="Twentieth Century" w:cs="Twentieth Century"/>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2">
    <w:nsid w:val="4791470D"/>
    <w:multiLevelType w:val="multilevel"/>
    <w:tmpl w:val="4791470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3">
    <w:nsid w:val="479277DD"/>
    <w:multiLevelType w:val="multilevel"/>
    <w:tmpl w:val="479277D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7A71861"/>
    <w:multiLevelType w:val="multilevel"/>
    <w:tmpl w:val="47A71861"/>
    <w:lvl w:ilvl="0" w:tentative="0">
      <w:start w:val="1"/>
      <w:numFmt w:val="decimal"/>
      <w:pStyle w:val="52"/>
      <w:lvlText w:val="%1."/>
      <w:lvlJc w:val="left"/>
      <w:pPr>
        <w:ind w:left="360" w:hanging="360"/>
      </w:pPr>
      <w:rPr>
        <w:b/>
        <w:strike w:val="0"/>
        <w:dstrike w:val="0"/>
        <w:color w:val="auto"/>
      </w:rPr>
    </w:lvl>
    <w:lvl w:ilvl="1" w:tentative="0">
      <w:start w:val="1"/>
      <w:numFmt w:val="lowerLetter"/>
      <w:lvlText w:val="%2."/>
      <w:lvlJc w:val="left"/>
      <w:pPr>
        <w:ind w:left="1547" w:hanging="360"/>
      </w:pPr>
    </w:lvl>
    <w:lvl w:ilvl="2" w:tentative="0">
      <w:start w:val="1"/>
      <w:numFmt w:val="lowerRoman"/>
      <w:lvlText w:val="%3."/>
      <w:lvlJc w:val="right"/>
      <w:pPr>
        <w:ind w:left="2267" w:hanging="180"/>
      </w:pPr>
    </w:lvl>
    <w:lvl w:ilvl="3" w:tentative="0">
      <w:start w:val="1"/>
      <w:numFmt w:val="decimal"/>
      <w:lvlText w:val="%4."/>
      <w:lvlJc w:val="left"/>
      <w:pPr>
        <w:ind w:left="2987" w:hanging="360"/>
      </w:pPr>
    </w:lvl>
    <w:lvl w:ilvl="4" w:tentative="0">
      <w:start w:val="1"/>
      <w:numFmt w:val="lowerLetter"/>
      <w:lvlText w:val="%5."/>
      <w:lvlJc w:val="left"/>
      <w:pPr>
        <w:ind w:left="3707" w:hanging="360"/>
      </w:pPr>
    </w:lvl>
    <w:lvl w:ilvl="5" w:tentative="0">
      <w:start w:val="1"/>
      <w:numFmt w:val="lowerRoman"/>
      <w:lvlText w:val="%6."/>
      <w:lvlJc w:val="right"/>
      <w:pPr>
        <w:ind w:left="4427" w:hanging="180"/>
      </w:pPr>
    </w:lvl>
    <w:lvl w:ilvl="6" w:tentative="0">
      <w:start w:val="1"/>
      <w:numFmt w:val="decimal"/>
      <w:lvlText w:val="%7."/>
      <w:lvlJc w:val="left"/>
      <w:pPr>
        <w:ind w:left="5147" w:hanging="360"/>
      </w:pPr>
    </w:lvl>
    <w:lvl w:ilvl="7" w:tentative="0">
      <w:start w:val="1"/>
      <w:numFmt w:val="lowerLetter"/>
      <w:lvlText w:val="%8."/>
      <w:lvlJc w:val="left"/>
      <w:pPr>
        <w:ind w:left="5867" w:hanging="360"/>
      </w:pPr>
    </w:lvl>
    <w:lvl w:ilvl="8" w:tentative="0">
      <w:start w:val="1"/>
      <w:numFmt w:val="lowerRoman"/>
      <w:lvlText w:val="%9."/>
      <w:lvlJc w:val="right"/>
      <w:pPr>
        <w:ind w:left="6587" w:hanging="180"/>
      </w:pPr>
    </w:lvl>
  </w:abstractNum>
  <w:abstractNum w:abstractNumId="45">
    <w:nsid w:val="489958A8"/>
    <w:multiLevelType w:val="multilevel"/>
    <w:tmpl w:val="489958A8"/>
    <w:lvl w:ilvl="0" w:tentative="0">
      <w:start w:val="1"/>
      <w:numFmt w:val="upperRoman"/>
      <w:lvlText w:val="%1-"/>
      <w:lvlJc w:val="left"/>
      <w:pPr>
        <w:ind w:left="1004" w:hanging="72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6">
    <w:nsid w:val="4E64095E"/>
    <w:multiLevelType w:val="multilevel"/>
    <w:tmpl w:val="4E64095E"/>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47">
    <w:nsid w:val="4EB706FE"/>
    <w:multiLevelType w:val="multilevel"/>
    <w:tmpl w:val="4EB706FE"/>
    <w:lvl w:ilvl="0" w:tentative="0">
      <w:start w:val="2"/>
      <w:numFmt w:val="bullet"/>
      <w:lvlText w:val="-"/>
      <w:lvlJc w:val="left"/>
      <w:pPr>
        <w:ind w:left="1080" w:hanging="360"/>
      </w:pPr>
      <w:rPr>
        <w:rFonts w:ascii="Arial" w:hAnsi="Arial" w:eastAsia="Arial" w:cs="Arial"/>
        <w:b/>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48">
    <w:nsid w:val="4F3B4998"/>
    <w:multiLevelType w:val="multilevel"/>
    <w:tmpl w:val="4F3B499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9">
    <w:nsid w:val="4F790B66"/>
    <w:multiLevelType w:val="multilevel"/>
    <w:tmpl w:val="4F790B66"/>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0">
    <w:nsid w:val="4FD67EAD"/>
    <w:multiLevelType w:val="multilevel"/>
    <w:tmpl w:val="4FD67EAD"/>
    <w:lvl w:ilvl="0" w:tentative="0">
      <w:start w:val="2"/>
      <w:numFmt w:val="bullet"/>
      <w:lvlText w:val="-"/>
      <w:lvlJc w:val="left"/>
      <w:pPr>
        <w:ind w:left="1996" w:hanging="360"/>
      </w:pPr>
      <w:rPr>
        <w:rFonts w:hint="default" w:ascii="Times New Roman" w:hAnsi="Times New Roman" w:eastAsia="Times New Roman" w:cs="Times New Roman"/>
      </w:rPr>
    </w:lvl>
    <w:lvl w:ilvl="1" w:tentative="0">
      <w:start w:val="1"/>
      <w:numFmt w:val="bullet"/>
      <w:lvlText w:val="o"/>
      <w:lvlJc w:val="left"/>
      <w:pPr>
        <w:ind w:left="2716" w:hanging="360"/>
      </w:pPr>
      <w:rPr>
        <w:rFonts w:hint="default" w:ascii="Courier New" w:hAnsi="Courier New" w:cs="Courier New"/>
      </w:rPr>
    </w:lvl>
    <w:lvl w:ilvl="2" w:tentative="0">
      <w:start w:val="1"/>
      <w:numFmt w:val="bullet"/>
      <w:lvlText w:val=""/>
      <w:lvlJc w:val="left"/>
      <w:pPr>
        <w:ind w:left="3436" w:hanging="360"/>
      </w:pPr>
      <w:rPr>
        <w:rFonts w:hint="default" w:ascii="Wingdings" w:hAnsi="Wingdings"/>
      </w:rPr>
    </w:lvl>
    <w:lvl w:ilvl="3" w:tentative="0">
      <w:start w:val="1"/>
      <w:numFmt w:val="bullet"/>
      <w:lvlText w:val=""/>
      <w:lvlJc w:val="left"/>
      <w:pPr>
        <w:ind w:left="4156" w:hanging="360"/>
      </w:pPr>
      <w:rPr>
        <w:rFonts w:hint="default" w:ascii="Symbol" w:hAnsi="Symbol"/>
      </w:rPr>
    </w:lvl>
    <w:lvl w:ilvl="4" w:tentative="0">
      <w:start w:val="1"/>
      <w:numFmt w:val="bullet"/>
      <w:lvlText w:val="o"/>
      <w:lvlJc w:val="left"/>
      <w:pPr>
        <w:ind w:left="4876" w:hanging="360"/>
      </w:pPr>
      <w:rPr>
        <w:rFonts w:hint="default" w:ascii="Courier New" w:hAnsi="Courier New" w:cs="Courier New"/>
      </w:rPr>
    </w:lvl>
    <w:lvl w:ilvl="5" w:tentative="0">
      <w:start w:val="1"/>
      <w:numFmt w:val="bullet"/>
      <w:lvlText w:val=""/>
      <w:lvlJc w:val="left"/>
      <w:pPr>
        <w:ind w:left="5596" w:hanging="360"/>
      </w:pPr>
      <w:rPr>
        <w:rFonts w:hint="default" w:ascii="Wingdings" w:hAnsi="Wingdings"/>
      </w:rPr>
    </w:lvl>
    <w:lvl w:ilvl="6" w:tentative="0">
      <w:start w:val="1"/>
      <w:numFmt w:val="bullet"/>
      <w:lvlText w:val=""/>
      <w:lvlJc w:val="left"/>
      <w:pPr>
        <w:ind w:left="6316" w:hanging="360"/>
      </w:pPr>
      <w:rPr>
        <w:rFonts w:hint="default" w:ascii="Symbol" w:hAnsi="Symbol"/>
      </w:rPr>
    </w:lvl>
    <w:lvl w:ilvl="7" w:tentative="0">
      <w:start w:val="1"/>
      <w:numFmt w:val="bullet"/>
      <w:lvlText w:val="o"/>
      <w:lvlJc w:val="left"/>
      <w:pPr>
        <w:ind w:left="7036" w:hanging="360"/>
      </w:pPr>
      <w:rPr>
        <w:rFonts w:hint="default" w:ascii="Courier New" w:hAnsi="Courier New" w:cs="Courier New"/>
      </w:rPr>
    </w:lvl>
    <w:lvl w:ilvl="8" w:tentative="0">
      <w:start w:val="1"/>
      <w:numFmt w:val="bullet"/>
      <w:lvlText w:val=""/>
      <w:lvlJc w:val="left"/>
      <w:pPr>
        <w:ind w:left="7756" w:hanging="360"/>
      </w:pPr>
      <w:rPr>
        <w:rFonts w:hint="default" w:ascii="Wingdings" w:hAnsi="Wingdings"/>
      </w:rPr>
    </w:lvl>
  </w:abstractNum>
  <w:abstractNum w:abstractNumId="51">
    <w:nsid w:val="51771042"/>
    <w:multiLevelType w:val="multilevel"/>
    <w:tmpl w:val="51771042"/>
    <w:lvl w:ilvl="0" w:tentative="0">
      <w:start w:val="1"/>
      <w:numFmt w:val="bullet"/>
      <w:lvlText w:val=""/>
      <w:lvlJc w:val="left"/>
      <w:pPr>
        <w:ind w:left="1275" w:hanging="360"/>
      </w:pPr>
      <w:rPr>
        <w:rFonts w:hint="default" w:ascii="Symbol" w:hAnsi="Symbol"/>
      </w:rPr>
    </w:lvl>
    <w:lvl w:ilvl="1" w:tentative="0">
      <w:start w:val="1"/>
      <w:numFmt w:val="bullet"/>
      <w:lvlText w:val="o"/>
      <w:lvlJc w:val="left"/>
      <w:pPr>
        <w:ind w:left="1995" w:hanging="360"/>
      </w:pPr>
      <w:rPr>
        <w:rFonts w:hint="default" w:ascii="Courier New" w:hAnsi="Courier New" w:cs="Courier New"/>
      </w:rPr>
    </w:lvl>
    <w:lvl w:ilvl="2" w:tentative="0">
      <w:start w:val="1"/>
      <w:numFmt w:val="bullet"/>
      <w:lvlText w:val=""/>
      <w:lvlJc w:val="left"/>
      <w:pPr>
        <w:ind w:left="2715" w:hanging="360"/>
      </w:pPr>
      <w:rPr>
        <w:rFonts w:hint="default" w:ascii="Wingdings" w:hAnsi="Wingdings"/>
      </w:rPr>
    </w:lvl>
    <w:lvl w:ilvl="3" w:tentative="0">
      <w:start w:val="1"/>
      <w:numFmt w:val="bullet"/>
      <w:lvlText w:val=""/>
      <w:lvlJc w:val="left"/>
      <w:pPr>
        <w:ind w:left="3435" w:hanging="360"/>
      </w:pPr>
      <w:rPr>
        <w:rFonts w:hint="default" w:ascii="Symbol" w:hAnsi="Symbol"/>
      </w:rPr>
    </w:lvl>
    <w:lvl w:ilvl="4" w:tentative="0">
      <w:start w:val="1"/>
      <w:numFmt w:val="bullet"/>
      <w:lvlText w:val="o"/>
      <w:lvlJc w:val="left"/>
      <w:pPr>
        <w:ind w:left="4155" w:hanging="360"/>
      </w:pPr>
      <w:rPr>
        <w:rFonts w:hint="default" w:ascii="Courier New" w:hAnsi="Courier New" w:cs="Courier New"/>
      </w:rPr>
    </w:lvl>
    <w:lvl w:ilvl="5" w:tentative="0">
      <w:start w:val="1"/>
      <w:numFmt w:val="bullet"/>
      <w:lvlText w:val=""/>
      <w:lvlJc w:val="left"/>
      <w:pPr>
        <w:ind w:left="4875" w:hanging="360"/>
      </w:pPr>
      <w:rPr>
        <w:rFonts w:hint="default" w:ascii="Wingdings" w:hAnsi="Wingdings"/>
      </w:rPr>
    </w:lvl>
    <w:lvl w:ilvl="6" w:tentative="0">
      <w:start w:val="1"/>
      <w:numFmt w:val="bullet"/>
      <w:lvlText w:val=""/>
      <w:lvlJc w:val="left"/>
      <w:pPr>
        <w:ind w:left="5595" w:hanging="360"/>
      </w:pPr>
      <w:rPr>
        <w:rFonts w:hint="default" w:ascii="Symbol" w:hAnsi="Symbol"/>
      </w:rPr>
    </w:lvl>
    <w:lvl w:ilvl="7" w:tentative="0">
      <w:start w:val="1"/>
      <w:numFmt w:val="bullet"/>
      <w:lvlText w:val="o"/>
      <w:lvlJc w:val="left"/>
      <w:pPr>
        <w:ind w:left="6315" w:hanging="360"/>
      </w:pPr>
      <w:rPr>
        <w:rFonts w:hint="default" w:ascii="Courier New" w:hAnsi="Courier New" w:cs="Courier New"/>
      </w:rPr>
    </w:lvl>
    <w:lvl w:ilvl="8" w:tentative="0">
      <w:start w:val="1"/>
      <w:numFmt w:val="bullet"/>
      <w:lvlText w:val=""/>
      <w:lvlJc w:val="left"/>
      <w:pPr>
        <w:ind w:left="7035" w:hanging="360"/>
      </w:pPr>
      <w:rPr>
        <w:rFonts w:hint="default" w:ascii="Wingdings" w:hAnsi="Wingdings"/>
      </w:rPr>
    </w:lvl>
  </w:abstractNum>
  <w:abstractNum w:abstractNumId="52">
    <w:nsid w:val="554A2E03"/>
    <w:multiLevelType w:val="multilevel"/>
    <w:tmpl w:val="554A2E03"/>
    <w:lvl w:ilvl="0" w:tentative="0">
      <w:start w:val="1"/>
      <w:numFmt w:val="decimal"/>
      <w:lvlText w:val="%1-"/>
      <w:lvlJc w:val="left"/>
      <w:pPr>
        <w:ind w:left="927" w:hanging="360"/>
      </w:pPr>
      <w:rPr>
        <w:rFonts w:hint="default"/>
        <w:i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568D2D64"/>
    <w:multiLevelType w:val="multilevel"/>
    <w:tmpl w:val="568D2D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69A25D3"/>
    <w:multiLevelType w:val="multilevel"/>
    <w:tmpl w:val="569A25D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57505DD4"/>
    <w:multiLevelType w:val="multilevel"/>
    <w:tmpl w:val="57505DD4"/>
    <w:lvl w:ilvl="0" w:tentative="0">
      <w:start w:val="1"/>
      <w:numFmt w:val="decimal"/>
      <w:lvlText w:val="%1."/>
      <w:lvlJc w:val="left"/>
      <w:pPr>
        <w:ind w:left="360" w:hanging="360"/>
      </w:pPr>
    </w:lvl>
    <w:lvl w:ilvl="1" w:tentative="0">
      <w:start w:val="1"/>
      <w:numFmt w:val="decimal"/>
      <w:lvlText w:val="%1.%2."/>
      <w:lvlJc w:val="left"/>
      <w:pPr>
        <w:ind w:left="834" w:hanging="720"/>
      </w:pPr>
    </w:lvl>
    <w:lvl w:ilvl="2" w:tentative="0">
      <w:start w:val="1"/>
      <w:numFmt w:val="decimal"/>
      <w:lvlText w:val="%1.%2.%3."/>
      <w:lvlJc w:val="left"/>
      <w:pPr>
        <w:ind w:left="948" w:hanging="720"/>
      </w:pPr>
    </w:lvl>
    <w:lvl w:ilvl="3" w:tentative="0">
      <w:start w:val="1"/>
      <w:numFmt w:val="decimal"/>
      <w:lvlText w:val="%1.%2.%3.%4."/>
      <w:lvlJc w:val="left"/>
      <w:pPr>
        <w:ind w:left="1422" w:hanging="1080"/>
      </w:pPr>
    </w:lvl>
    <w:lvl w:ilvl="4" w:tentative="0">
      <w:start w:val="1"/>
      <w:numFmt w:val="decimal"/>
      <w:lvlText w:val="%1.%2.%3.%4.%5."/>
      <w:lvlJc w:val="left"/>
      <w:pPr>
        <w:ind w:left="1536" w:hanging="1080"/>
      </w:pPr>
    </w:lvl>
    <w:lvl w:ilvl="5" w:tentative="0">
      <w:start w:val="1"/>
      <w:numFmt w:val="decimal"/>
      <w:lvlText w:val="%1.%2.%3.%4.%5.%6."/>
      <w:lvlJc w:val="left"/>
      <w:pPr>
        <w:ind w:left="2010" w:hanging="1440"/>
      </w:pPr>
    </w:lvl>
    <w:lvl w:ilvl="6" w:tentative="0">
      <w:start w:val="1"/>
      <w:numFmt w:val="decimal"/>
      <w:lvlText w:val="%1.%2.%3.%4.%5.%6.%7."/>
      <w:lvlJc w:val="left"/>
      <w:pPr>
        <w:ind w:left="2124" w:hanging="1440"/>
      </w:pPr>
    </w:lvl>
    <w:lvl w:ilvl="7" w:tentative="0">
      <w:start w:val="1"/>
      <w:numFmt w:val="decimal"/>
      <w:lvlText w:val="%1.%2.%3.%4.%5.%6.%7.%8."/>
      <w:lvlJc w:val="left"/>
      <w:pPr>
        <w:ind w:left="2598" w:hanging="1800"/>
      </w:pPr>
    </w:lvl>
    <w:lvl w:ilvl="8" w:tentative="0">
      <w:start w:val="1"/>
      <w:numFmt w:val="decimal"/>
      <w:lvlText w:val="%1.%2.%3.%4.%5.%6.%7.%8.%9."/>
      <w:lvlJc w:val="left"/>
      <w:pPr>
        <w:ind w:left="2712" w:hanging="1800"/>
      </w:pPr>
    </w:lvl>
  </w:abstractNum>
  <w:abstractNum w:abstractNumId="56">
    <w:nsid w:val="5B2B5BC8"/>
    <w:multiLevelType w:val="multilevel"/>
    <w:tmpl w:val="5B2B5BC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5C34744E"/>
    <w:multiLevelType w:val="multilevel"/>
    <w:tmpl w:val="5C34744E"/>
    <w:lvl w:ilvl="0" w:tentative="0">
      <w:start w:val="40"/>
      <w:numFmt w:val="decimal"/>
      <w:lvlText w:val="%1."/>
      <w:lvlJc w:val="left"/>
      <w:pPr>
        <w:ind w:left="435" w:hanging="435"/>
      </w:pPr>
    </w:lvl>
    <w:lvl w:ilvl="1" w:tentative="0">
      <w:start w:val="2"/>
      <w:numFmt w:val="decimal"/>
      <w:lvlText w:val="%1.%2-"/>
      <w:lvlJc w:val="left"/>
      <w:pPr>
        <w:ind w:left="435" w:hanging="435"/>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58">
    <w:nsid w:val="62936C65"/>
    <w:multiLevelType w:val="multilevel"/>
    <w:tmpl w:val="62936C65"/>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9">
    <w:nsid w:val="642368ED"/>
    <w:multiLevelType w:val="multilevel"/>
    <w:tmpl w:val="642368ED"/>
    <w:lvl w:ilvl="0" w:tentative="0">
      <w:start w:val="1"/>
      <w:numFmt w:val="lowerLetter"/>
      <w:lvlText w:val="%1)"/>
      <w:lvlJc w:val="left"/>
      <w:pPr>
        <w:ind w:left="720" w:hanging="360"/>
      </w:pPr>
      <w:rPr>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647F38C4"/>
    <w:multiLevelType w:val="multilevel"/>
    <w:tmpl w:val="647F38C4"/>
    <w:lvl w:ilvl="0" w:tentative="0">
      <w:start w:val="1"/>
      <w:numFmt w:val="lowerLetter"/>
      <w:lvlText w:val="%1)"/>
      <w:lvlJc w:val="left"/>
      <w:pPr>
        <w:ind w:left="786" w:hanging="360"/>
      </w:pPr>
      <w:rPr>
        <w:rFonts w:ascii="Calibri" w:hAnsi="Calibri" w:eastAsia="Calibri" w:cs="Calibri"/>
        <w:color w:val="231F20"/>
        <w:sz w:val="26"/>
        <w:szCs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64AB3F84"/>
    <w:multiLevelType w:val="multilevel"/>
    <w:tmpl w:val="64AB3F84"/>
    <w:lvl w:ilvl="0" w:tentative="0">
      <w:start w:val="2"/>
      <w:numFmt w:val="bullet"/>
      <w:lvlText w:val="-"/>
      <w:lvlJc w:val="left"/>
      <w:pPr>
        <w:ind w:left="2444" w:hanging="360"/>
      </w:pPr>
      <w:rPr>
        <w:rFonts w:ascii="Arial" w:hAnsi="Arial" w:eastAsia="Arial" w:cs="Arial"/>
        <w:b/>
        <w:sz w:val="24"/>
        <w:szCs w:val="24"/>
      </w:rPr>
    </w:lvl>
    <w:lvl w:ilvl="1" w:tentative="0">
      <w:start w:val="1"/>
      <w:numFmt w:val="bullet"/>
      <w:lvlText w:val="o"/>
      <w:lvlJc w:val="left"/>
      <w:pPr>
        <w:ind w:left="3164" w:hanging="360"/>
      </w:pPr>
      <w:rPr>
        <w:rFonts w:ascii="Courier New" w:hAnsi="Courier New" w:eastAsia="Courier New" w:cs="Courier New"/>
      </w:rPr>
    </w:lvl>
    <w:lvl w:ilvl="2" w:tentative="0">
      <w:start w:val="1"/>
      <w:numFmt w:val="bullet"/>
      <w:lvlText w:val="▪"/>
      <w:lvlJc w:val="left"/>
      <w:pPr>
        <w:ind w:left="3884" w:hanging="360"/>
      </w:pPr>
      <w:rPr>
        <w:rFonts w:ascii="Noto Sans Symbols" w:hAnsi="Noto Sans Symbols" w:eastAsia="Noto Sans Symbols" w:cs="Noto Sans Symbols"/>
      </w:rPr>
    </w:lvl>
    <w:lvl w:ilvl="3" w:tentative="0">
      <w:start w:val="1"/>
      <w:numFmt w:val="bullet"/>
      <w:lvlText w:val="●"/>
      <w:lvlJc w:val="left"/>
      <w:pPr>
        <w:ind w:left="4604" w:hanging="360"/>
      </w:pPr>
      <w:rPr>
        <w:rFonts w:ascii="Noto Sans Symbols" w:hAnsi="Noto Sans Symbols" w:eastAsia="Noto Sans Symbols" w:cs="Noto Sans Symbols"/>
      </w:rPr>
    </w:lvl>
    <w:lvl w:ilvl="4" w:tentative="0">
      <w:start w:val="1"/>
      <w:numFmt w:val="bullet"/>
      <w:lvlText w:val="o"/>
      <w:lvlJc w:val="left"/>
      <w:pPr>
        <w:ind w:left="5324" w:hanging="360"/>
      </w:pPr>
      <w:rPr>
        <w:rFonts w:ascii="Courier New" w:hAnsi="Courier New" w:eastAsia="Courier New" w:cs="Courier New"/>
      </w:rPr>
    </w:lvl>
    <w:lvl w:ilvl="5" w:tentative="0">
      <w:start w:val="1"/>
      <w:numFmt w:val="bullet"/>
      <w:lvlText w:val="▪"/>
      <w:lvlJc w:val="left"/>
      <w:pPr>
        <w:ind w:left="6044" w:hanging="360"/>
      </w:pPr>
      <w:rPr>
        <w:rFonts w:ascii="Noto Sans Symbols" w:hAnsi="Noto Sans Symbols" w:eastAsia="Noto Sans Symbols" w:cs="Noto Sans Symbols"/>
      </w:rPr>
    </w:lvl>
    <w:lvl w:ilvl="6" w:tentative="0">
      <w:start w:val="1"/>
      <w:numFmt w:val="bullet"/>
      <w:lvlText w:val="●"/>
      <w:lvlJc w:val="left"/>
      <w:pPr>
        <w:ind w:left="6764" w:hanging="360"/>
      </w:pPr>
      <w:rPr>
        <w:rFonts w:ascii="Noto Sans Symbols" w:hAnsi="Noto Sans Symbols" w:eastAsia="Noto Sans Symbols" w:cs="Noto Sans Symbols"/>
      </w:rPr>
    </w:lvl>
    <w:lvl w:ilvl="7" w:tentative="0">
      <w:start w:val="1"/>
      <w:numFmt w:val="bullet"/>
      <w:lvlText w:val="o"/>
      <w:lvlJc w:val="left"/>
      <w:pPr>
        <w:ind w:left="7484" w:hanging="360"/>
      </w:pPr>
      <w:rPr>
        <w:rFonts w:ascii="Courier New" w:hAnsi="Courier New" w:eastAsia="Courier New" w:cs="Courier New"/>
      </w:rPr>
    </w:lvl>
    <w:lvl w:ilvl="8" w:tentative="0">
      <w:start w:val="1"/>
      <w:numFmt w:val="bullet"/>
      <w:lvlText w:val="▪"/>
      <w:lvlJc w:val="left"/>
      <w:pPr>
        <w:ind w:left="8204" w:hanging="360"/>
      </w:pPr>
      <w:rPr>
        <w:rFonts w:ascii="Noto Sans Symbols" w:hAnsi="Noto Sans Symbols" w:eastAsia="Noto Sans Symbols" w:cs="Noto Sans Symbols"/>
      </w:rPr>
    </w:lvl>
  </w:abstractNum>
  <w:abstractNum w:abstractNumId="62">
    <w:nsid w:val="65CD4545"/>
    <w:multiLevelType w:val="multilevel"/>
    <w:tmpl w:val="65CD4545"/>
    <w:lvl w:ilvl="0" w:tentative="0">
      <w:start w:val="1"/>
      <w:numFmt w:val="upperLetter"/>
      <w:lvlText w:val="%1."/>
      <w:lvlJc w:val="left"/>
      <w:pPr>
        <w:ind w:left="2204"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6610391E"/>
    <w:multiLevelType w:val="multilevel"/>
    <w:tmpl w:val="6610391E"/>
    <w:lvl w:ilvl="0" w:tentative="0">
      <w:start w:val="1"/>
      <w:numFmt w:val="lowerLetter"/>
      <w:lvlText w:val="%1)."/>
      <w:lvlJc w:val="left"/>
      <w:pPr>
        <w:ind w:left="720" w:hanging="360"/>
      </w:pPr>
      <w:rPr>
        <w:strike w:val="0"/>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4">
    <w:nsid w:val="676E389B"/>
    <w:multiLevelType w:val="multilevel"/>
    <w:tmpl w:val="676E389B"/>
    <w:lvl w:ilvl="0" w:tentative="0">
      <w:start w:val="2"/>
      <w:numFmt w:val="bullet"/>
      <w:lvlText w:val="-"/>
      <w:lvlJc w:val="left"/>
      <w:pPr>
        <w:ind w:left="720" w:hanging="360"/>
      </w:pPr>
      <w:rPr>
        <w:rFonts w:ascii="Arial" w:hAnsi="Arial" w:eastAsia="Arial" w:cs="Arial"/>
        <w:b/>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5">
    <w:nsid w:val="6821F043"/>
    <w:multiLevelType w:val="multilevel"/>
    <w:tmpl w:val="6821F043"/>
    <w:lvl w:ilvl="0" w:tentative="0">
      <w:start w:val="1"/>
      <w:numFmt w:val="bullet"/>
      <w:lvlText w:val=""/>
      <w:lvlJc w:val="left"/>
      <w:pPr>
        <w:tabs>
          <w:tab w:val="left" w:pos="2868"/>
        </w:tabs>
        <w:ind w:left="2868"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6821F05A"/>
    <w:multiLevelType w:val="multilevel"/>
    <w:tmpl w:val="6821F05A"/>
    <w:lvl w:ilvl="0" w:tentative="0">
      <w:start w:val="3"/>
      <w:numFmt w:val="bullet"/>
      <w:lvlText w:val="-"/>
      <w:lvlJc w:val="left"/>
      <w:pPr>
        <w:tabs>
          <w:tab w:val="left" w:pos="435"/>
        </w:tabs>
        <w:ind w:left="435" w:hanging="360"/>
      </w:pPr>
      <w:rPr>
        <w:rFonts w:hint="default" w:ascii="Times New Roman" w:hAnsi="Times New Roman" w:eastAsia="Times New Roman" w:cs="Times New Roman"/>
      </w:rPr>
    </w:lvl>
    <w:lvl w:ilvl="1" w:tentative="0">
      <w:start w:val="0"/>
      <w:numFmt w:val="bullet"/>
      <w:lvlText w:val=""/>
      <w:lvlJc w:val="left"/>
      <w:pPr>
        <w:tabs>
          <w:tab w:val="left" w:pos="1155"/>
        </w:tabs>
        <w:ind w:left="1155" w:hanging="360"/>
      </w:pPr>
      <w:rPr>
        <w:rFonts w:hint="default" w:ascii="Symbol" w:hAnsi="Symbol" w:eastAsia="Times New Roman" w:cs="Times New Roman"/>
      </w:rPr>
    </w:lvl>
    <w:lvl w:ilvl="2" w:tentative="0">
      <w:start w:val="1"/>
      <w:numFmt w:val="decimal"/>
      <w:lvlText w:val="%3."/>
      <w:lvlJc w:val="left"/>
      <w:pPr>
        <w:tabs>
          <w:tab w:val="left" w:pos="1875"/>
        </w:tabs>
        <w:ind w:left="1875" w:hanging="360"/>
      </w:pPr>
    </w:lvl>
    <w:lvl w:ilvl="3" w:tentative="0">
      <w:start w:val="1"/>
      <w:numFmt w:val="bullet"/>
      <w:lvlText w:val=""/>
      <w:lvlJc w:val="left"/>
      <w:pPr>
        <w:tabs>
          <w:tab w:val="left" w:pos="2595"/>
        </w:tabs>
        <w:ind w:left="2595" w:hanging="360"/>
      </w:pPr>
      <w:rPr>
        <w:rFonts w:hint="default" w:ascii="Symbol" w:hAnsi="Symbol"/>
      </w:rPr>
    </w:lvl>
    <w:lvl w:ilvl="4" w:tentative="0">
      <w:start w:val="1"/>
      <w:numFmt w:val="bullet"/>
      <w:lvlText w:val="o"/>
      <w:lvlJc w:val="left"/>
      <w:pPr>
        <w:tabs>
          <w:tab w:val="left" w:pos="3315"/>
        </w:tabs>
        <w:ind w:left="3315" w:hanging="360"/>
      </w:pPr>
      <w:rPr>
        <w:rFonts w:hint="default" w:ascii="Courier New" w:hAnsi="Courier New" w:cs="Times New Roman"/>
      </w:rPr>
    </w:lvl>
    <w:lvl w:ilvl="5" w:tentative="0">
      <w:start w:val="1"/>
      <w:numFmt w:val="bullet"/>
      <w:lvlText w:val=""/>
      <w:lvlJc w:val="left"/>
      <w:pPr>
        <w:tabs>
          <w:tab w:val="left" w:pos="4035"/>
        </w:tabs>
        <w:ind w:left="4035" w:hanging="360"/>
      </w:pPr>
      <w:rPr>
        <w:rFonts w:hint="default" w:ascii="Wingdings" w:hAnsi="Wingdings"/>
      </w:rPr>
    </w:lvl>
    <w:lvl w:ilvl="6" w:tentative="0">
      <w:start w:val="1"/>
      <w:numFmt w:val="bullet"/>
      <w:lvlText w:val=""/>
      <w:lvlJc w:val="left"/>
      <w:pPr>
        <w:tabs>
          <w:tab w:val="left" w:pos="4755"/>
        </w:tabs>
        <w:ind w:left="4755" w:hanging="360"/>
      </w:pPr>
      <w:rPr>
        <w:rFonts w:hint="default" w:ascii="Symbol" w:hAnsi="Symbol"/>
      </w:rPr>
    </w:lvl>
    <w:lvl w:ilvl="7" w:tentative="0">
      <w:start w:val="1"/>
      <w:numFmt w:val="bullet"/>
      <w:lvlText w:val="o"/>
      <w:lvlJc w:val="left"/>
      <w:pPr>
        <w:tabs>
          <w:tab w:val="left" w:pos="5475"/>
        </w:tabs>
        <w:ind w:left="5475" w:hanging="360"/>
      </w:pPr>
      <w:rPr>
        <w:rFonts w:hint="default" w:ascii="Courier New" w:hAnsi="Courier New" w:cs="Times New Roman"/>
      </w:rPr>
    </w:lvl>
    <w:lvl w:ilvl="8" w:tentative="0">
      <w:start w:val="1"/>
      <w:numFmt w:val="bullet"/>
      <w:lvlText w:val=""/>
      <w:lvlJc w:val="left"/>
      <w:pPr>
        <w:tabs>
          <w:tab w:val="left" w:pos="6195"/>
        </w:tabs>
        <w:ind w:left="6195" w:hanging="360"/>
      </w:pPr>
      <w:rPr>
        <w:rFonts w:hint="default" w:ascii="Wingdings" w:hAnsi="Wingdings"/>
      </w:rPr>
    </w:lvl>
  </w:abstractNum>
  <w:abstractNum w:abstractNumId="67">
    <w:nsid w:val="6970449F"/>
    <w:multiLevelType w:val="multilevel"/>
    <w:tmpl w:val="6970449F"/>
    <w:lvl w:ilvl="0" w:tentative="0">
      <w:start w:val="1"/>
      <w:numFmt w:val="decimal"/>
      <w:lvlText w:val="Pièce n°%1 :"/>
      <w:lvlJc w:val="left"/>
      <w:pPr>
        <w:ind w:left="7874" w:hanging="360"/>
      </w:pPr>
    </w:lvl>
    <w:lvl w:ilvl="1" w:tentative="0">
      <w:start w:val="1"/>
      <w:numFmt w:val="lowerLetter"/>
      <w:lvlText w:val="%2."/>
      <w:lvlJc w:val="left"/>
      <w:pPr>
        <w:ind w:left="1932" w:hanging="360"/>
      </w:pPr>
    </w:lvl>
    <w:lvl w:ilvl="2" w:tentative="0">
      <w:start w:val="1"/>
      <w:numFmt w:val="lowerRoman"/>
      <w:lvlText w:val="%3."/>
      <w:lvlJc w:val="right"/>
      <w:pPr>
        <w:ind w:left="1098" w:hanging="180"/>
      </w:pPr>
    </w:lvl>
    <w:lvl w:ilvl="3" w:tentative="0">
      <w:start w:val="1"/>
      <w:numFmt w:val="decimal"/>
      <w:lvlText w:val="%4."/>
      <w:lvlJc w:val="left"/>
      <w:pPr>
        <w:ind w:left="3372" w:hanging="360"/>
      </w:pPr>
    </w:lvl>
    <w:lvl w:ilvl="4" w:tentative="0">
      <w:start w:val="1"/>
      <w:numFmt w:val="lowerLetter"/>
      <w:lvlText w:val="%5."/>
      <w:lvlJc w:val="left"/>
      <w:pPr>
        <w:ind w:left="4092" w:hanging="360"/>
      </w:pPr>
    </w:lvl>
    <w:lvl w:ilvl="5" w:tentative="0">
      <w:start w:val="1"/>
      <w:numFmt w:val="lowerRoman"/>
      <w:lvlText w:val="%6."/>
      <w:lvlJc w:val="right"/>
      <w:pPr>
        <w:ind w:left="4812" w:hanging="180"/>
      </w:pPr>
    </w:lvl>
    <w:lvl w:ilvl="6" w:tentative="0">
      <w:start w:val="1"/>
      <w:numFmt w:val="decimal"/>
      <w:lvlText w:val="%7."/>
      <w:lvlJc w:val="left"/>
      <w:pPr>
        <w:ind w:left="5532" w:hanging="360"/>
      </w:pPr>
    </w:lvl>
    <w:lvl w:ilvl="7" w:tentative="0">
      <w:start w:val="1"/>
      <w:numFmt w:val="lowerLetter"/>
      <w:lvlText w:val="%8."/>
      <w:lvlJc w:val="left"/>
      <w:pPr>
        <w:ind w:left="6252" w:hanging="360"/>
      </w:pPr>
    </w:lvl>
    <w:lvl w:ilvl="8" w:tentative="0">
      <w:start w:val="1"/>
      <w:numFmt w:val="lowerRoman"/>
      <w:lvlText w:val="%9."/>
      <w:lvlJc w:val="right"/>
      <w:pPr>
        <w:ind w:left="6972" w:hanging="180"/>
      </w:pPr>
    </w:lvl>
  </w:abstractNum>
  <w:abstractNum w:abstractNumId="68">
    <w:nsid w:val="6A3A0C7B"/>
    <w:multiLevelType w:val="multilevel"/>
    <w:tmpl w:val="6A3A0C7B"/>
    <w:lvl w:ilvl="0" w:tentative="0">
      <w:start w:val="1"/>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69">
    <w:nsid w:val="6AE826EB"/>
    <w:multiLevelType w:val="multilevel"/>
    <w:tmpl w:val="6AE826EB"/>
    <w:lvl w:ilvl="0" w:tentative="0">
      <w:start w:val="6"/>
      <w:numFmt w:val="bullet"/>
      <w:lvlText w:val="-"/>
      <w:lvlJc w:val="left"/>
      <w:pPr>
        <w:ind w:left="720" w:hanging="36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0">
    <w:nsid w:val="6C764BDF"/>
    <w:multiLevelType w:val="multilevel"/>
    <w:tmpl w:val="6C764BDF"/>
    <w:lvl w:ilvl="0" w:tentative="0">
      <w:start w:val="23"/>
      <w:numFmt w:val="bullet"/>
      <w:lvlText w:val="-"/>
      <w:lvlJc w:val="left"/>
      <w:pPr>
        <w:ind w:left="720" w:hanging="360"/>
      </w:pPr>
      <w:rPr>
        <w:rFonts w:ascii="Arial" w:hAnsi="Arial" w:eastAsia="Arial" w:cs="Arial"/>
        <w:color w:val="000000"/>
        <w:sz w:val="24"/>
        <w:szCs w:val="24"/>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1">
    <w:nsid w:val="6E921671"/>
    <w:multiLevelType w:val="multilevel"/>
    <w:tmpl w:val="6E921671"/>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2">
    <w:nsid w:val="70F70610"/>
    <w:multiLevelType w:val="multilevel"/>
    <w:tmpl w:val="70F70610"/>
    <w:lvl w:ilvl="0" w:tentative="0">
      <w:start w:val="2"/>
      <w:numFmt w:val="bullet"/>
      <w:lvlText w:val="-"/>
      <w:lvlJc w:val="left"/>
      <w:pPr>
        <w:ind w:left="1004" w:hanging="360"/>
      </w:pPr>
      <w:rPr>
        <w:rFonts w:ascii="Arial" w:hAnsi="Arial" w:eastAsia="Arial" w:cs="Arial"/>
        <w:b/>
        <w:sz w:val="24"/>
        <w:szCs w:val="24"/>
      </w:rPr>
    </w:lvl>
    <w:lvl w:ilvl="1" w:tentative="0">
      <w:start w:val="1"/>
      <w:numFmt w:val="bullet"/>
      <w:lvlText w:val="o"/>
      <w:lvlJc w:val="left"/>
      <w:pPr>
        <w:ind w:left="1724" w:hanging="360"/>
      </w:pPr>
      <w:rPr>
        <w:rFonts w:ascii="Courier New" w:hAnsi="Courier New" w:eastAsia="Courier New" w:cs="Courier New"/>
      </w:rPr>
    </w:lvl>
    <w:lvl w:ilvl="2" w:tentative="0">
      <w:start w:val="1"/>
      <w:numFmt w:val="bullet"/>
      <w:lvlText w:val="▪"/>
      <w:lvlJc w:val="left"/>
      <w:pPr>
        <w:ind w:left="2444" w:hanging="360"/>
      </w:pPr>
      <w:rPr>
        <w:rFonts w:ascii="Noto Sans Symbols" w:hAnsi="Noto Sans Symbols" w:eastAsia="Noto Sans Symbols" w:cs="Noto Sans Symbols"/>
      </w:rPr>
    </w:lvl>
    <w:lvl w:ilvl="3" w:tentative="0">
      <w:start w:val="1"/>
      <w:numFmt w:val="bullet"/>
      <w:lvlText w:val="●"/>
      <w:lvlJc w:val="left"/>
      <w:pPr>
        <w:ind w:left="3164" w:hanging="360"/>
      </w:pPr>
      <w:rPr>
        <w:rFonts w:ascii="Noto Sans Symbols" w:hAnsi="Noto Sans Symbols" w:eastAsia="Noto Sans Symbols" w:cs="Noto Sans Symbols"/>
      </w:rPr>
    </w:lvl>
    <w:lvl w:ilvl="4" w:tentative="0">
      <w:start w:val="1"/>
      <w:numFmt w:val="bullet"/>
      <w:lvlText w:val="o"/>
      <w:lvlJc w:val="left"/>
      <w:pPr>
        <w:ind w:left="3884" w:hanging="360"/>
      </w:pPr>
      <w:rPr>
        <w:rFonts w:ascii="Courier New" w:hAnsi="Courier New" w:eastAsia="Courier New" w:cs="Courier New"/>
      </w:rPr>
    </w:lvl>
    <w:lvl w:ilvl="5" w:tentative="0">
      <w:start w:val="1"/>
      <w:numFmt w:val="bullet"/>
      <w:lvlText w:val="▪"/>
      <w:lvlJc w:val="left"/>
      <w:pPr>
        <w:ind w:left="4604" w:hanging="360"/>
      </w:pPr>
      <w:rPr>
        <w:rFonts w:ascii="Noto Sans Symbols" w:hAnsi="Noto Sans Symbols" w:eastAsia="Noto Sans Symbols" w:cs="Noto Sans Symbols"/>
      </w:rPr>
    </w:lvl>
    <w:lvl w:ilvl="6" w:tentative="0">
      <w:start w:val="1"/>
      <w:numFmt w:val="bullet"/>
      <w:lvlText w:val="●"/>
      <w:lvlJc w:val="left"/>
      <w:pPr>
        <w:ind w:left="5324" w:hanging="360"/>
      </w:pPr>
      <w:rPr>
        <w:rFonts w:ascii="Noto Sans Symbols" w:hAnsi="Noto Sans Symbols" w:eastAsia="Noto Sans Symbols" w:cs="Noto Sans Symbols"/>
      </w:rPr>
    </w:lvl>
    <w:lvl w:ilvl="7" w:tentative="0">
      <w:start w:val="1"/>
      <w:numFmt w:val="bullet"/>
      <w:lvlText w:val="o"/>
      <w:lvlJc w:val="left"/>
      <w:pPr>
        <w:ind w:left="6044" w:hanging="360"/>
      </w:pPr>
      <w:rPr>
        <w:rFonts w:ascii="Courier New" w:hAnsi="Courier New" w:eastAsia="Courier New" w:cs="Courier New"/>
      </w:rPr>
    </w:lvl>
    <w:lvl w:ilvl="8" w:tentative="0">
      <w:start w:val="1"/>
      <w:numFmt w:val="bullet"/>
      <w:lvlText w:val="▪"/>
      <w:lvlJc w:val="left"/>
      <w:pPr>
        <w:ind w:left="6764" w:hanging="360"/>
      </w:pPr>
      <w:rPr>
        <w:rFonts w:ascii="Noto Sans Symbols" w:hAnsi="Noto Sans Symbols" w:eastAsia="Noto Sans Symbols" w:cs="Noto Sans Symbols"/>
      </w:rPr>
    </w:lvl>
  </w:abstractNum>
  <w:abstractNum w:abstractNumId="73">
    <w:nsid w:val="712E4BA2"/>
    <w:multiLevelType w:val="multilevel"/>
    <w:tmpl w:val="712E4BA2"/>
    <w:lvl w:ilvl="0" w:tentative="0">
      <w:start w:val="1"/>
      <w:numFmt w:val="upperLetter"/>
      <w:lvlText w:val="%1."/>
      <w:lvlJc w:val="left"/>
      <w:pPr>
        <w:ind w:left="467" w:hanging="360"/>
      </w:pPr>
      <w:rPr>
        <w:b/>
      </w:rPr>
    </w:lvl>
    <w:lvl w:ilvl="1" w:tentative="0">
      <w:start w:val="1"/>
      <w:numFmt w:val="lowerLetter"/>
      <w:lvlText w:val="%2."/>
      <w:lvlJc w:val="left"/>
      <w:pPr>
        <w:ind w:left="1187" w:hanging="360"/>
      </w:pPr>
    </w:lvl>
    <w:lvl w:ilvl="2" w:tentative="0">
      <w:start w:val="1"/>
      <w:numFmt w:val="lowerRoman"/>
      <w:lvlText w:val="%3."/>
      <w:lvlJc w:val="right"/>
      <w:pPr>
        <w:ind w:left="1907" w:hanging="180"/>
      </w:pPr>
    </w:lvl>
    <w:lvl w:ilvl="3" w:tentative="0">
      <w:start w:val="1"/>
      <w:numFmt w:val="decimal"/>
      <w:lvlText w:val="%4."/>
      <w:lvlJc w:val="left"/>
      <w:pPr>
        <w:ind w:left="2627" w:hanging="360"/>
      </w:pPr>
    </w:lvl>
    <w:lvl w:ilvl="4" w:tentative="0">
      <w:start w:val="1"/>
      <w:numFmt w:val="lowerLetter"/>
      <w:lvlText w:val="%5."/>
      <w:lvlJc w:val="left"/>
      <w:pPr>
        <w:ind w:left="3347" w:hanging="360"/>
      </w:pPr>
    </w:lvl>
    <w:lvl w:ilvl="5" w:tentative="0">
      <w:start w:val="1"/>
      <w:numFmt w:val="lowerRoman"/>
      <w:lvlText w:val="%6."/>
      <w:lvlJc w:val="right"/>
      <w:pPr>
        <w:ind w:left="4067" w:hanging="180"/>
      </w:pPr>
    </w:lvl>
    <w:lvl w:ilvl="6" w:tentative="0">
      <w:start w:val="1"/>
      <w:numFmt w:val="decimal"/>
      <w:lvlText w:val="%7."/>
      <w:lvlJc w:val="left"/>
      <w:pPr>
        <w:ind w:left="4787" w:hanging="360"/>
      </w:pPr>
    </w:lvl>
    <w:lvl w:ilvl="7" w:tentative="0">
      <w:start w:val="1"/>
      <w:numFmt w:val="lowerLetter"/>
      <w:lvlText w:val="%8."/>
      <w:lvlJc w:val="left"/>
      <w:pPr>
        <w:ind w:left="5507" w:hanging="360"/>
      </w:pPr>
    </w:lvl>
    <w:lvl w:ilvl="8" w:tentative="0">
      <w:start w:val="1"/>
      <w:numFmt w:val="lowerRoman"/>
      <w:lvlText w:val="%9."/>
      <w:lvlJc w:val="right"/>
      <w:pPr>
        <w:ind w:left="6227" w:hanging="180"/>
      </w:pPr>
    </w:lvl>
  </w:abstractNum>
  <w:abstractNum w:abstractNumId="74">
    <w:nsid w:val="72697EA3"/>
    <w:multiLevelType w:val="multilevel"/>
    <w:tmpl w:val="72697EA3"/>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5">
    <w:nsid w:val="72E80C4E"/>
    <w:multiLevelType w:val="multilevel"/>
    <w:tmpl w:val="72E80C4E"/>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6">
    <w:nsid w:val="733E5677"/>
    <w:multiLevelType w:val="multilevel"/>
    <w:tmpl w:val="733E5677"/>
    <w:lvl w:ilvl="0" w:tentative="0">
      <w:start w:val="1"/>
      <w:numFmt w:val="bullet"/>
      <w:lvlText w:val="⮚"/>
      <w:lvlJc w:val="left"/>
      <w:pPr>
        <w:ind w:left="720" w:hanging="360"/>
      </w:pPr>
      <w:rPr>
        <w:rFonts w:ascii="Noto Sans Symbols" w:hAnsi="Noto Sans Symbols" w:eastAsia="Noto Sans Symbols" w:cs="Noto Sans Symbols"/>
        <w:color w:val="231F20"/>
        <w:sz w:val="16"/>
        <w:szCs w:val="16"/>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7">
    <w:nsid w:val="739B3FB6"/>
    <w:multiLevelType w:val="multilevel"/>
    <w:tmpl w:val="739B3FB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73D6169B"/>
    <w:multiLevelType w:val="multilevel"/>
    <w:tmpl w:val="73D6169B"/>
    <w:lvl w:ilvl="0" w:tentative="0">
      <w:start w:val="1"/>
      <w:numFmt w:val="decimal"/>
      <w:lvlText w:val="Article %1."/>
      <w:lvlJc w:val="left"/>
      <w:pPr>
        <w:ind w:left="786" w:hanging="360"/>
      </w:pPr>
      <w:rPr>
        <w:rFonts w:ascii="Times New Roman" w:hAnsi="Times New Roman" w:eastAsia="Times New Roman" w:cs="Times New Roman"/>
        <w:b/>
        <w:i w:val="0"/>
        <w:smallCaps w:val="0"/>
        <w:strike w:val="0"/>
        <w:sz w:val="28"/>
        <w:szCs w:val="28"/>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740A0612"/>
    <w:multiLevelType w:val="multilevel"/>
    <w:tmpl w:val="740A0612"/>
    <w:lvl w:ilvl="0" w:tentative="0">
      <w:start w:val="1"/>
      <w:numFmt w:val="bullet"/>
      <w:lvlText w:val="▪"/>
      <w:lvlJc w:val="left"/>
      <w:pPr>
        <w:ind w:left="644" w:hanging="359"/>
      </w:pPr>
      <w:rPr>
        <w:rFonts w:ascii="Noto Sans Symbols" w:hAnsi="Noto Sans Symbols" w:eastAsia="Noto Sans Symbols" w:cs="Noto Sans Symbols"/>
        <w:i/>
        <w:strike w:val="0"/>
        <w:color w:val="221F1F"/>
      </w:rPr>
    </w:lvl>
    <w:lvl w:ilvl="1" w:tentative="0">
      <w:start w:val="0"/>
      <w:numFmt w:val="bullet"/>
      <w:lvlText w:val="o"/>
      <w:lvlJc w:val="left"/>
      <w:pPr>
        <w:ind w:left="1194" w:hanging="360"/>
      </w:pPr>
      <w:rPr>
        <w:rFonts w:ascii="Courier New" w:hAnsi="Courier New" w:eastAsia="Courier New" w:cs="Courier New"/>
      </w:rPr>
    </w:lvl>
    <w:lvl w:ilvl="2" w:tentative="0">
      <w:start w:val="0"/>
      <w:numFmt w:val="bullet"/>
      <w:lvlText w:val="▪"/>
      <w:lvlJc w:val="left"/>
      <w:pPr>
        <w:ind w:left="1914" w:hanging="360"/>
      </w:pPr>
      <w:rPr>
        <w:rFonts w:ascii="Noto Sans Symbols" w:hAnsi="Noto Sans Symbols" w:eastAsia="Noto Sans Symbols" w:cs="Noto Sans Symbols"/>
      </w:rPr>
    </w:lvl>
    <w:lvl w:ilvl="3" w:tentative="0">
      <w:start w:val="0"/>
      <w:numFmt w:val="bullet"/>
      <w:lvlText w:val="●"/>
      <w:lvlJc w:val="left"/>
      <w:pPr>
        <w:ind w:left="2634" w:hanging="360"/>
      </w:pPr>
      <w:rPr>
        <w:rFonts w:ascii="Noto Sans Symbols" w:hAnsi="Noto Sans Symbols" w:eastAsia="Noto Sans Symbols" w:cs="Noto Sans Symbols"/>
      </w:rPr>
    </w:lvl>
    <w:lvl w:ilvl="4" w:tentative="0">
      <w:start w:val="0"/>
      <w:numFmt w:val="bullet"/>
      <w:lvlText w:val="o"/>
      <w:lvlJc w:val="left"/>
      <w:pPr>
        <w:ind w:left="3354" w:hanging="360"/>
      </w:pPr>
      <w:rPr>
        <w:rFonts w:ascii="Courier New" w:hAnsi="Courier New" w:eastAsia="Courier New" w:cs="Courier New"/>
      </w:rPr>
    </w:lvl>
    <w:lvl w:ilvl="5" w:tentative="0">
      <w:start w:val="0"/>
      <w:numFmt w:val="bullet"/>
      <w:lvlText w:val="▪"/>
      <w:lvlJc w:val="left"/>
      <w:pPr>
        <w:ind w:left="4074" w:hanging="360"/>
      </w:pPr>
      <w:rPr>
        <w:rFonts w:ascii="Noto Sans Symbols" w:hAnsi="Noto Sans Symbols" w:eastAsia="Noto Sans Symbols" w:cs="Noto Sans Symbols"/>
      </w:rPr>
    </w:lvl>
    <w:lvl w:ilvl="6" w:tentative="0">
      <w:start w:val="0"/>
      <w:numFmt w:val="bullet"/>
      <w:lvlText w:val="●"/>
      <w:lvlJc w:val="left"/>
      <w:pPr>
        <w:ind w:left="4794" w:hanging="360"/>
      </w:pPr>
      <w:rPr>
        <w:rFonts w:ascii="Noto Sans Symbols" w:hAnsi="Noto Sans Symbols" w:eastAsia="Noto Sans Symbols" w:cs="Noto Sans Symbols"/>
      </w:rPr>
    </w:lvl>
    <w:lvl w:ilvl="7" w:tentative="0">
      <w:start w:val="0"/>
      <w:numFmt w:val="bullet"/>
      <w:lvlText w:val="o"/>
      <w:lvlJc w:val="left"/>
      <w:pPr>
        <w:ind w:left="5514" w:hanging="360"/>
      </w:pPr>
      <w:rPr>
        <w:rFonts w:ascii="Courier New" w:hAnsi="Courier New" w:eastAsia="Courier New" w:cs="Courier New"/>
      </w:rPr>
    </w:lvl>
    <w:lvl w:ilvl="8" w:tentative="0">
      <w:start w:val="0"/>
      <w:numFmt w:val="bullet"/>
      <w:lvlText w:val="▪"/>
      <w:lvlJc w:val="left"/>
      <w:pPr>
        <w:ind w:left="6234" w:hanging="360"/>
      </w:pPr>
      <w:rPr>
        <w:rFonts w:ascii="Noto Sans Symbols" w:hAnsi="Noto Sans Symbols" w:eastAsia="Noto Sans Symbols" w:cs="Noto Sans Symbols"/>
      </w:rPr>
    </w:lvl>
  </w:abstractNum>
  <w:abstractNum w:abstractNumId="80">
    <w:nsid w:val="74DA2DA8"/>
    <w:multiLevelType w:val="multilevel"/>
    <w:tmpl w:val="74DA2DA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1">
    <w:nsid w:val="75662D45"/>
    <w:multiLevelType w:val="multilevel"/>
    <w:tmpl w:val="75662D45"/>
    <w:lvl w:ilvl="0" w:tentative="0">
      <w:start w:val="1"/>
      <w:numFmt w:val="lowerLetter"/>
      <w:lvlText w:val="%1)"/>
      <w:lvlJc w:val="left"/>
      <w:pPr>
        <w:ind w:left="720" w:hanging="360"/>
      </w:pPr>
      <w:rPr>
        <w:rFonts w:ascii="Calibri" w:hAnsi="Calibri" w:eastAsia="Calibri" w:cs="Calibri"/>
        <w:color w:val="231F20"/>
        <w:sz w:val="26"/>
        <w:szCs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77943676"/>
    <w:multiLevelType w:val="multilevel"/>
    <w:tmpl w:val="7794367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3">
    <w:nsid w:val="781C1A99"/>
    <w:multiLevelType w:val="multilevel"/>
    <w:tmpl w:val="781C1A9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
      <w:lvlJc w:val="left"/>
      <w:pPr>
        <w:ind w:left="1440" w:hanging="360"/>
      </w:pPr>
      <w:rPr>
        <w:rFonts w:ascii="Noto Sans Symbols" w:hAnsi="Noto Sans Symbols" w:eastAsia="Noto Sans Symbols" w:cs="Noto Sans Symbols"/>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4">
    <w:nsid w:val="78EB1D9B"/>
    <w:multiLevelType w:val="multilevel"/>
    <w:tmpl w:val="78EB1D9B"/>
    <w:lvl w:ilvl="0" w:tentative="0">
      <w:start w:val="1"/>
      <w:numFmt w:val="bullet"/>
      <w:lvlText w:val=""/>
      <w:lvlJc w:val="left"/>
      <w:pPr>
        <w:ind w:left="720" w:hanging="360"/>
      </w:pPr>
      <w:rPr>
        <w:rFonts w:hint="default" w:ascii="Wingdings" w:hAnsi="Wingdings"/>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79515FA2"/>
    <w:multiLevelType w:val="multilevel"/>
    <w:tmpl w:val="79515FA2"/>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6">
    <w:nsid w:val="7BE7196C"/>
    <w:multiLevelType w:val="multilevel"/>
    <w:tmpl w:val="7BE719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7">
    <w:nsid w:val="7C912792"/>
    <w:multiLevelType w:val="multilevel"/>
    <w:tmpl w:val="7C912792"/>
    <w:lvl w:ilvl="0" w:tentative="0">
      <w:start w:val="1"/>
      <w:numFmt w:val="upperRoman"/>
      <w:lvlText w:val="CHAPITRE  %1."/>
      <w:lvlJc w:val="center"/>
      <w:pPr>
        <w:ind w:left="720" w:hanging="360"/>
      </w:pPr>
      <w:rPr>
        <w:rFonts w:ascii="Times New Roman" w:hAnsi="Times New Roman" w:eastAsia="Times New Roman" w:cs="Times New Roman"/>
        <w:b/>
        <w:i w:val="0"/>
        <w:smallCaps/>
        <w:strike w:val="0"/>
        <w:color w:val="000000"/>
        <w:sz w:val="32"/>
        <w:szCs w:val="3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7CB45319"/>
    <w:multiLevelType w:val="multilevel"/>
    <w:tmpl w:val="7CB4531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9">
    <w:nsid w:val="7CE35D1F"/>
    <w:multiLevelType w:val="multilevel"/>
    <w:tmpl w:val="7CE35D1F"/>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0">
    <w:nsid w:val="7CFC18E2"/>
    <w:multiLevelType w:val="multilevel"/>
    <w:tmpl w:val="7CFC18E2"/>
    <w:lvl w:ilvl="0" w:tentative="0">
      <w:start w:val="0"/>
      <w:numFmt w:val="bullet"/>
      <w:lvlText w:val="-"/>
      <w:lvlJc w:val="left"/>
      <w:pPr>
        <w:ind w:left="360" w:hanging="360"/>
      </w:pPr>
      <w:rPr>
        <w:rFonts w:ascii="Arial" w:hAnsi="Arial" w:eastAsia="Arial" w:cs="Arial"/>
      </w:rPr>
    </w:lvl>
    <w:lvl w:ilvl="1" w:tentative="0">
      <w:start w:val="0"/>
      <w:numFmt w:val="bullet"/>
      <w:lvlText w:val="o"/>
      <w:lvlJc w:val="left"/>
      <w:pPr>
        <w:ind w:left="1080" w:hanging="360"/>
      </w:pPr>
      <w:rPr>
        <w:rFonts w:ascii="Courier New" w:hAnsi="Courier New" w:eastAsia="Courier New" w:cs="Courier New"/>
      </w:rPr>
    </w:lvl>
    <w:lvl w:ilvl="2" w:tentative="0">
      <w:start w:val="0"/>
      <w:numFmt w:val="bullet"/>
      <w:lvlText w:val="▪"/>
      <w:lvlJc w:val="left"/>
      <w:pPr>
        <w:ind w:left="1800" w:hanging="360"/>
      </w:pPr>
      <w:rPr>
        <w:rFonts w:ascii="Noto Sans Symbols" w:hAnsi="Noto Sans Symbols" w:eastAsia="Noto Sans Symbols" w:cs="Noto Sans Symbols"/>
      </w:rPr>
    </w:lvl>
    <w:lvl w:ilvl="3" w:tentative="0">
      <w:start w:val="0"/>
      <w:numFmt w:val="bullet"/>
      <w:lvlText w:val="●"/>
      <w:lvlJc w:val="left"/>
      <w:pPr>
        <w:ind w:left="2520" w:hanging="360"/>
      </w:pPr>
      <w:rPr>
        <w:rFonts w:ascii="Noto Sans Symbols" w:hAnsi="Noto Sans Symbols" w:eastAsia="Noto Sans Symbols" w:cs="Noto Sans Symbols"/>
      </w:rPr>
    </w:lvl>
    <w:lvl w:ilvl="4" w:tentative="0">
      <w:start w:val="0"/>
      <w:numFmt w:val="bullet"/>
      <w:lvlText w:val="o"/>
      <w:lvlJc w:val="left"/>
      <w:pPr>
        <w:ind w:left="3240" w:hanging="360"/>
      </w:pPr>
      <w:rPr>
        <w:rFonts w:ascii="Courier New" w:hAnsi="Courier New" w:eastAsia="Courier New" w:cs="Courier New"/>
      </w:rPr>
    </w:lvl>
    <w:lvl w:ilvl="5" w:tentative="0">
      <w:start w:val="0"/>
      <w:numFmt w:val="bullet"/>
      <w:lvlText w:val="▪"/>
      <w:lvlJc w:val="left"/>
      <w:pPr>
        <w:ind w:left="3960" w:hanging="360"/>
      </w:pPr>
      <w:rPr>
        <w:rFonts w:ascii="Noto Sans Symbols" w:hAnsi="Noto Sans Symbols" w:eastAsia="Noto Sans Symbols" w:cs="Noto Sans Symbols"/>
      </w:rPr>
    </w:lvl>
    <w:lvl w:ilvl="6" w:tentative="0">
      <w:start w:val="0"/>
      <w:numFmt w:val="bullet"/>
      <w:lvlText w:val="●"/>
      <w:lvlJc w:val="left"/>
      <w:pPr>
        <w:ind w:left="4680" w:hanging="360"/>
      </w:pPr>
      <w:rPr>
        <w:rFonts w:ascii="Noto Sans Symbols" w:hAnsi="Noto Sans Symbols" w:eastAsia="Noto Sans Symbols" w:cs="Noto Sans Symbols"/>
      </w:rPr>
    </w:lvl>
    <w:lvl w:ilvl="7" w:tentative="0">
      <w:start w:val="0"/>
      <w:numFmt w:val="bullet"/>
      <w:lvlText w:val="o"/>
      <w:lvlJc w:val="left"/>
      <w:pPr>
        <w:ind w:left="5400" w:hanging="360"/>
      </w:pPr>
      <w:rPr>
        <w:rFonts w:ascii="Courier New" w:hAnsi="Courier New" w:eastAsia="Courier New" w:cs="Courier New"/>
      </w:rPr>
    </w:lvl>
    <w:lvl w:ilvl="8" w:tentative="0">
      <w:start w:val="0"/>
      <w:numFmt w:val="bullet"/>
      <w:lvlText w:val="▪"/>
      <w:lvlJc w:val="left"/>
      <w:pPr>
        <w:ind w:left="6120" w:hanging="360"/>
      </w:pPr>
      <w:rPr>
        <w:rFonts w:ascii="Noto Sans Symbols" w:hAnsi="Noto Sans Symbols" w:eastAsia="Noto Sans Symbols" w:cs="Noto Sans Symbols"/>
      </w:rPr>
    </w:lvl>
  </w:abstractNum>
  <w:num w:numId="1">
    <w:abstractNumId w:val="44"/>
  </w:num>
  <w:num w:numId="2">
    <w:abstractNumId w:val="52"/>
  </w:num>
  <w:num w:numId="3">
    <w:abstractNumId w:val="41"/>
  </w:num>
  <w:num w:numId="4">
    <w:abstractNumId w:val="22"/>
  </w:num>
  <w:num w:numId="5">
    <w:abstractNumId w:val="12"/>
  </w:num>
  <w:num w:numId="6">
    <w:abstractNumId w:val="42"/>
  </w:num>
  <w:num w:numId="7">
    <w:abstractNumId w:val="79"/>
  </w:num>
  <w:num w:numId="8">
    <w:abstractNumId w:val="26"/>
  </w:num>
  <w:num w:numId="9">
    <w:abstractNumId w:val="90"/>
  </w:num>
  <w:num w:numId="10">
    <w:abstractNumId w:val="31"/>
  </w:num>
  <w:num w:numId="11">
    <w:abstractNumId w:val="32"/>
  </w:num>
  <w:num w:numId="12">
    <w:abstractNumId w:val="62"/>
  </w:num>
  <w:num w:numId="13">
    <w:abstractNumId w:val="78"/>
  </w:num>
  <w:num w:numId="14">
    <w:abstractNumId w:val="55"/>
  </w:num>
  <w:num w:numId="15">
    <w:abstractNumId w:val="11"/>
  </w:num>
  <w:num w:numId="16">
    <w:abstractNumId w:val="67"/>
  </w:num>
  <w:num w:numId="17">
    <w:abstractNumId w:val="70"/>
  </w:num>
  <w:num w:numId="18">
    <w:abstractNumId w:val="21"/>
  </w:num>
  <w:num w:numId="19">
    <w:abstractNumId w:val="81"/>
  </w:num>
  <w:num w:numId="20">
    <w:abstractNumId w:val="15"/>
  </w:num>
  <w:num w:numId="21">
    <w:abstractNumId w:val="72"/>
  </w:num>
  <w:num w:numId="22">
    <w:abstractNumId w:val="38"/>
  </w:num>
  <w:num w:numId="23">
    <w:abstractNumId w:val="7"/>
  </w:num>
  <w:num w:numId="24">
    <w:abstractNumId w:val="83"/>
  </w:num>
  <w:num w:numId="25">
    <w:abstractNumId w:val="30"/>
  </w:num>
  <w:num w:numId="26">
    <w:abstractNumId w:val="1"/>
  </w:num>
  <w:num w:numId="27">
    <w:abstractNumId w:val="56"/>
  </w:num>
  <w:num w:numId="28">
    <w:abstractNumId w:val="54"/>
  </w:num>
  <w:num w:numId="29">
    <w:abstractNumId w:val="77"/>
  </w:num>
  <w:num w:numId="30">
    <w:abstractNumId w:val="24"/>
  </w:num>
  <w:num w:numId="31">
    <w:abstractNumId w:val="68"/>
  </w:num>
  <w:num w:numId="32">
    <w:abstractNumId w:val="80"/>
  </w:num>
  <w:num w:numId="33">
    <w:abstractNumId w:val="85"/>
  </w:num>
  <w:num w:numId="34">
    <w:abstractNumId w:val="45"/>
  </w:num>
  <w:num w:numId="35">
    <w:abstractNumId w:val="36"/>
  </w:num>
  <w:num w:numId="36">
    <w:abstractNumId w:val="63"/>
  </w:num>
  <w:num w:numId="37">
    <w:abstractNumId w:val="27"/>
  </w:num>
  <w:num w:numId="38">
    <w:abstractNumId w:val="76"/>
  </w:num>
  <w:num w:numId="39">
    <w:abstractNumId w:val="14"/>
  </w:num>
  <w:num w:numId="40">
    <w:abstractNumId w:val="87"/>
  </w:num>
  <w:num w:numId="41">
    <w:abstractNumId w:val="28"/>
  </w:num>
  <w:num w:numId="42">
    <w:abstractNumId w:val="16"/>
  </w:num>
  <w:num w:numId="43">
    <w:abstractNumId w:val="71"/>
  </w:num>
  <w:num w:numId="44">
    <w:abstractNumId w:val="23"/>
  </w:num>
  <w:num w:numId="45">
    <w:abstractNumId w:val="0"/>
  </w:num>
  <w:num w:numId="46">
    <w:abstractNumId w:val="25"/>
  </w:num>
  <w:num w:numId="47">
    <w:abstractNumId w:val="37"/>
  </w:num>
  <w:num w:numId="48">
    <w:abstractNumId w:val="61"/>
  </w:num>
  <w:num w:numId="49">
    <w:abstractNumId w:val="86"/>
  </w:num>
  <w:num w:numId="50">
    <w:abstractNumId w:val="29"/>
  </w:num>
  <w:num w:numId="51">
    <w:abstractNumId w:val="9"/>
  </w:num>
  <w:num w:numId="52">
    <w:abstractNumId w:val="20"/>
  </w:num>
  <w:num w:numId="53">
    <w:abstractNumId w:val="47"/>
  </w:num>
  <w:num w:numId="54">
    <w:abstractNumId w:val="82"/>
  </w:num>
  <w:num w:numId="55">
    <w:abstractNumId w:val="59"/>
  </w:num>
  <w:num w:numId="56">
    <w:abstractNumId w:val="58"/>
  </w:num>
  <w:num w:numId="57">
    <w:abstractNumId w:val="73"/>
  </w:num>
  <w:num w:numId="58">
    <w:abstractNumId w:val="35"/>
  </w:num>
  <w:num w:numId="59">
    <w:abstractNumId w:val="57"/>
  </w:num>
  <w:num w:numId="60">
    <w:abstractNumId w:val="10"/>
  </w:num>
  <w:num w:numId="61">
    <w:abstractNumId w:val="69"/>
  </w:num>
  <w:num w:numId="62">
    <w:abstractNumId w:val="60"/>
  </w:num>
  <w:num w:numId="63">
    <w:abstractNumId w:val="84"/>
  </w:num>
  <w:num w:numId="64">
    <w:abstractNumId w:val="5"/>
  </w:num>
  <w:num w:numId="65">
    <w:abstractNumId w:val="43"/>
  </w:num>
  <w:num w:numId="66">
    <w:abstractNumId w:val="6"/>
  </w:num>
  <w:num w:numId="67">
    <w:abstractNumId w:val="75"/>
  </w:num>
  <w:num w:numId="68">
    <w:abstractNumId w:val="13"/>
  </w:num>
  <w:num w:numId="69">
    <w:abstractNumId w:val="34"/>
  </w:num>
  <w:num w:numId="70">
    <w:abstractNumId w:val="50"/>
  </w:num>
  <w:num w:numId="71">
    <w:abstractNumId w:val="89"/>
  </w:num>
  <w:num w:numId="72">
    <w:abstractNumId w:val="88"/>
  </w:num>
  <w:num w:numId="73">
    <w:abstractNumId w:val="48"/>
  </w:num>
  <w:num w:numId="74">
    <w:abstractNumId w:val="40"/>
  </w:num>
  <w:num w:numId="75">
    <w:abstractNumId w:val="49"/>
  </w:num>
  <w:num w:numId="76">
    <w:abstractNumId w:val="51"/>
  </w:num>
  <w:num w:numId="77">
    <w:abstractNumId w:val="17"/>
  </w:num>
  <w:num w:numId="78">
    <w:abstractNumId w:val="39"/>
  </w:num>
  <w:num w:numId="79">
    <w:abstractNumId w:val="53"/>
  </w:num>
  <w:num w:numId="80">
    <w:abstractNumId w:val="65"/>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num>
  <w:num w:numId="82">
    <w:abstractNumId w:val="18"/>
  </w:num>
  <w:num w:numId="83">
    <w:abstractNumId w:val="33"/>
  </w:num>
  <w:num w:numId="84">
    <w:abstractNumId w:val="2"/>
  </w:num>
  <w:num w:numId="85">
    <w:abstractNumId w:val="66"/>
    <w:lvlOverride w:ilvl="2">
      <w:startOverride w:val="1"/>
    </w:lvlOverride>
  </w:num>
  <w:num w:numId="86">
    <w:abstractNumId w:val="4"/>
  </w:num>
  <w:num w:numId="87">
    <w:abstractNumId w:val="19"/>
  </w:num>
  <w:num w:numId="88">
    <w:abstractNumId w:val="64"/>
  </w:num>
  <w:num w:numId="89">
    <w:abstractNumId w:val="3"/>
  </w:num>
  <w:num w:numId="90">
    <w:abstractNumId w:val="46"/>
  </w:num>
  <w:num w:numId="91">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iPriority="99" w:semiHidden="0" w:name="Balloon Text"/>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fr-FR" w:eastAsia="fr-FR" w:bidi="ar-SA"/>
    </w:rPr>
  </w:style>
  <w:style w:type="paragraph" w:styleId="2">
    <w:name w:val="heading 1"/>
    <w:basedOn w:val="3"/>
    <w:next w:val="3"/>
    <w:qFormat/>
    <w:uiPriority w:val="0"/>
    <w:pPr>
      <w:keepNext/>
      <w:keepLines/>
      <w:spacing w:before="480"/>
      <w:outlineLvl w:val="0"/>
    </w:pPr>
    <w:rPr>
      <w:rFonts w:ascii="Cambria" w:hAnsi="Cambria" w:eastAsia="Cambria" w:cs="Cambria"/>
      <w:b/>
      <w:color w:val="365F91"/>
      <w:sz w:val="28"/>
      <w:szCs w:val="28"/>
    </w:rPr>
  </w:style>
  <w:style w:type="paragraph" w:styleId="4">
    <w:name w:val="heading 2"/>
    <w:basedOn w:val="3"/>
    <w:next w:val="3"/>
    <w:qFormat/>
    <w:uiPriority w:val="0"/>
    <w:pPr>
      <w:keepNext/>
      <w:spacing w:before="240" w:after="60"/>
      <w:outlineLvl w:val="1"/>
    </w:pPr>
    <w:rPr>
      <w:rFonts w:ascii="Cambria" w:hAnsi="Cambria" w:eastAsia="Cambria" w:cs="Cambria"/>
      <w:b/>
      <w:i/>
      <w:sz w:val="28"/>
      <w:szCs w:val="28"/>
    </w:rPr>
  </w:style>
  <w:style w:type="paragraph" w:styleId="5">
    <w:name w:val="heading 3"/>
    <w:basedOn w:val="3"/>
    <w:next w:val="3"/>
    <w:qFormat/>
    <w:uiPriority w:val="0"/>
    <w:pPr>
      <w:keepNext/>
      <w:spacing w:before="240" w:after="60"/>
      <w:outlineLvl w:val="2"/>
    </w:pPr>
    <w:rPr>
      <w:rFonts w:ascii="Cambria" w:hAnsi="Cambria" w:eastAsia="Cambria" w:cs="Cambria"/>
      <w:b/>
      <w:sz w:val="26"/>
      <w:szCs w:val="26"/>
    </w:rPr>
  </w:style>
  <w:style w:type="paragraph" w:styleId="6">
    <w:name w:val="heading 4"/>
    <w:basedOn w:val="3"/>
    <w:next w:val="3"/>
    <w:qFormat/>
    <w:uiPriority w:val="0"/>
    <w:pPr>
      <w:keepNext/>
      <w:jc w:val="center"/>
      <w:outlineLvl w:val="3"/>
    </w:pPr>
    <w:rPr>
      <w:b/>
      <w:sz w:val="28"/>
      <w:szCs w:val="28"/>
    </w:rPr>
  </w:style>
  <w:style w:type="paragraph" w:styleId="7">
    <w:name w:val="heading 5"/>
    <w:basedOn w:val="3"/>
    <w:next w:val="3"/>
    <w:qFormat/>
    <w:uiPriority w:val="0"/>
    <w:pPr>
      <w:keepNext/>
      <w:keepLines/>
      <w:spacing w:before="40"/>
      <w:outlineLvl w:val="4"/>
    </w:pPr>
    <w:rPr>
      <w:rFonts w:ascii="Calibri" w:hAnsi="Calibri" w:eastAsia="Calibri" w:cs="Calibri"/>
      <w:color w:val="2F5496"/>
    </w:rPr>
  </w:style>
  <w:style w:type="paragraph" w:styleId="8">
    <w:name w:val="heading 6"/>
    <w:basedOn w:val="3"/>
    <w:next w:val="3"/>
    <w:qFormat/>
    <w:uiPriority w:val="0"/>
    <w:pPr>
      <w:keepNext/>
      <w:keepLines/>
      <w:spacing w:before="200"/>
      <w:outlineLvl w:val="5"/>
    </w:pPr>
    <w:rPr>
      <w:rFonts w:ascii="Cambria" w:hAnsi="Cambria" w:eastAsia="Cambria" w:cs="Cambria"/>
      <w:i/>
      <w:color w:val="243F60"/>
    </w:rPr>
  </w:style>
  <w:style w:type="paragraph" w:styleId="9">
    <w:name w:val="heading 7"/>
    <w:basedOn w:val="1"/>
    <w:next w:val="1"/>
    <w:link w:val="55"/>
    <w:unhideWhenUsed/>
    <w:qFormat/>
    <w:uiPriority w:val="9"/>
    <w:pPr>
      <w:keepNext/>
      <w:keepLines/>
      <w:spacing w:before="40"/>
      <w:outlineLvl w:val="6"/>
    </w:pPr>
    <w:rPr>
      <w:rFonts w:asciiTheme="majorHAnsi" w:hAnsiTheme="majorHAnsi" w:eastAsiaTheme="majorEastAsia" w:cstheme="majorBidi"/>
      <w:i/>
      <w:iCs/>
      <w:color w:val="254061" w:themeColor="accent1" w:themeShade="80"/>
    </w:rPr>
  </w:style>
  <w:style w:type="character" w:default="1" w:styleId="20">
    <w:name w:val="Default Paragraph Font"/>
    <w:unhideWhenUsed/>
    <w:qFormat/>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customStyle="1" w:styleId="3">
    <w:name w:val="Normal1"/>
    <w:qFormat/>
    <w:uiPriority w:val="0"/>
    <w:pPr>
      <w:spacing w:after="160" w:line="259" w:lineRule="auto"/>
    </w:pPr>
    <w:rPr>
      <w:rFonts w:ascii="Times New Roman" w:hAnsi="Times New Roman" w:eastAsia="Times New Roman" w:cs="Times New Roman"/>
      <w:sz w:val="24"/>
      <w:szCs w:val="24"/>
      <w:lang w:val="fr-FR" w:eastAsia="fr-FR" w:bidi="ar-SA"/>
    </w:rPr>
  </w:style>
  <w:style w:type="paragraph" w:styleId="10">
    <w:name w:val="Subtitle"/>
    <w:basedOn w:val="3"/>
    <w:next w:val="3"/>
    <w:qFormat/>
    <w:uiPriority w:val="0"/>
    <w:pPr>
      <w:spacing w:after="60"/>
      <w:jc w:val="center"/>
    </w:pPr>
    <w:rPr>
      <w:rFonts w:ascii="Calibri" w:hAnsi="Calibri" w:eastAsia="Calibri" w:cs="Calibri"/>
    </w:rPr>
  </w:style>
  <w:style w:type="paragraph" w:styleId="11">
    <w:name w:val="Body Text 3"/>
    <w:basedOn w:val="1"/>
    <w:link w:val="57"/>
    <w:unhideWhenUsed/>
    <w:qFormat/>
    <w:uiPriority w:val="99"/>
    <w:pPr>
      <w:spacing w:after="120"/>
    </w:pPr>
    <w:rPr>
      <w:sz w:val="16"/>
      <w:szCs w:val="16"/>
    </w:rPr>
  </w:style>
  <w:style w:type="paragraph" w:styleId="12">
    <w:name w:val="Body Text Indent 3"/>
    <w:basedOn w:val="1"/>
    <w:link w:val="54"/>
    <w:unhideWhenUsed/>
    <w:qFormat/>
    <w:uiPriority w:val="99"/>
    <w:pPr>
      <w:suppressAutoHyphens/>
      <w:autoSpaceDN w:val="0"/>
      <w:spacing w:after="120"/>
      <w:ind w:left="283"/>
      <w:textAlignment w:val="baseline"/>
    </w:pPr>
    <w:rPr>
      <w:sz w:val="16"/>
      <w:szCs w:val="16"/>
    </w:rPr>
  </w:style>
  <w:style w:type="paragraph" w:styleId="13">
    <w:name w:val="Body Text"/>
    <w:basedOn w:val="1"/>
    <w:link w:val="56"/>
    <w:unhideWhenUsed/>
    <w:qFormat/>
    <w:uiPriority w:val="99"/>
    <w:pPr>
      <w:spacing w:after="120"/>
    </w:pPr>
  </w:style>
  <w:style w:type="paragraph" w:styleId="14">
    <w:name w:val="Balloon Text"/>
    <w:basedOn w:val="1"/>
    <w:link w:val="51"/>
    <w:unhideWhenUsed/>
    <w:qFormat/>
    <w:uiPriority w:val="99"/>
    <w:rPr>
      <w:rFonts w:ascii="Tahoma" w:hAnsi="Tahoma" w:cs="Tahoma"/>
      <w:sz w:val="16"/>
      <w:szCs w:val="16"/>
    </w:rPr>
  </w:style>
  <w:style w:type="paragraph" w:styleId="15">
    <w:name w:val="footer"/>
    <w:basedOn w:val="1"/>
    <w:link w:val="65"/>
    <w:unhideWhenUsed/>
    <w:qFormat/>
    <w:uiPriority w:val="99"/>
    <w:pPr>
      <w:tabs>
        <w:tab w:val="center" w:pos="4536"/>
        <w:tab w:val="right" w:pos="9072"/>
      </w:tabs>
      <w:spacing w:after="0" w:line="240" w:lineRule="auto"/>
    </w:pPr>
  </w:style>
  <w:style w:type="paragraph" w:styleId="16">
    <w:name w:val="header"/>
    <w:basedOn w:val="1"/>
    <w:link w:val="58"/>
    <w:unhideWhenUsed/>
    <w:qFormat/>
    <w:uiPriority w:val="0"/>
    <w:pPr>
      <w:tabs>
        <w:tab w:val="center" w:pos="4536"/>
        <w:tab w:val="right" w:pos="9072"/>
      </w:tabs>
    </w:pPr>
    <w:rPr>
      <w:rFonts w:asciiTheme="minorHAnsi" w:hAnsiTheme="minorHAnsi" w:eastAsiaTheme="minorEastAsia" w:cstheme="minorBidi"/>
      <w:sz w:val="22"/>
      <w:szCs w:val="22"/>
    </w:rPr>
  </w:style>
  <w:style w:type="paragraph" w:styleId="17">
    <w:name w:val="toc 2"/>
    <w:basedOn w:val="1"/>
    <w:next w:val="1"/>
    <w:unhideWhenUsed/>
    <w:qFormat/>
    <w:uiPriority w:val="39"/>
    <w:pPr>
      <w:tabs>
        <w:tab w:val="left" w:pos="1540"/>
        <w:tab w:val="right" w:leader="dot" w:pos="9622"/>
      </w:tabs>
      <w:suppressAutoHyphens/>
      <w:autoSpaceDN w:val="0"/>
      <w:spacing w:after="120" w:line="360" w:lineRule="auto"/>
      <w:ind w:left="1560" w:hanging="1320"/>
      <w:textAlignment w:val="baseline"/>
    </w:pPr>
    <w:rPr>
      <w:rFonts w:ascii="Arial" w:hAnsi="Arial" w:eastAsia="SimSun" w:cs="Arial"/>
    </w:rPr>
  </w:style>
  <w:style w:type="paragraph" w:styleId="18">
    <w:name w:val="Title"/>
    <w:basedOn w:val="3"/>
    <w:next w:val="3"/>
    <w:qFormat/>
    <w:uiPriority w:val="0"/>
    <w:pPr>
      <w:keepNext/>
      <w:keepLines/>
      <w:spacing w:before="480" w:after="120"/>
    </w:pPr>
    <w:rPr>
      <w:b/>
      <w:sz w:val="72"/>
      <w:szCs w:val="72"/>
    </w:rPr>
  </w:style>
  <w:style w:type="paragraph" w:styleId="19">
    <w:name w:val="toc 1"/>
    <w:basedOn w:val="1"/>
    <w:next w:val="1"/>
    <w:qFormat/>
    <w:uiPriority w:val="39"/>
    <w:pPr>
      <w:tabs>
        <w:tab w:val="left" w:pos="1560"/>
        <w:tab w:val="right" w:leader="dot" w:pos="9622"/>
      </w:tabs>
      <w:suppressAutoHyphens/>
      <w:autoSpaceDN w:val="0"/>
      <w:spacing w:after="100" w:line="360" w:lineRule="auto"/>
      <w:ind w:left="1560" w:hanging="1276"/>
      <w:textAlignment w:val="baseline"/>
    </w:pPr>
    <w:rPr>
      <w:rFonts w:eastAsia="SimSun"/>
    </w:r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table" w:customStyle="1" w:styleId="23">
    <w:name w:val="Table Normal"/>
    <w:qFormat/>
    <w:uiPriority w:val="0"/>
    <w:tblPr>
      <w:tblLayout w:type="fixed"/>
      <w:tblCellMar>
        <w:top w:w="0" w:type="dxa"/>
        <w:left w:w="0" w:type="dxa"/>
        <w:bottom w:w="0" w:type="dxa"/>
        <w:right w:w="0" w:type="dxa"/>
      </w:tblCellMar>
    </w:tblPr>
  </w:style>
  <w:style w:type="table" w:customStyle="1" w:styleId="24">
    <w:name w:val="_Style 14"/>
    <w:basedOn w:val="23"/>
    <w:qFormat/>
    <w:uiPriority w:val="0"/>
    <w:tblPr>
      <w:tblLayout w:type="fixed"/>
      <w:tblCellMar>
        <w:top w:w="0" w:type="dxa"/>
        <w:left w:w="115" w:type="dxa"/>
        <w:bottom w:w="0" w:type="dxa"/>
        <w:right w:w="115" w:type="dxa"/>
      </w:tblCellMar>
    </w:tblPr>
  </w:style>
  <w:style w:type="table" w:customStyle="1" w:styleId="25">
    <w:name w:val="_Style 15"/>
    <w:basedOn w:val="23"/>
    <w:qFormat/>
    <w:uiPriority w:val="0"/>
    <w:tblPr>
      <w:tblLayout w:type="fixed"/>
      <w:tblCellMar>
        <w:top w:w="0" w:type="dxa"/>
        <w:left w:w="0" w:type="dxa"/>
        <w:bottom w:w="0" w:type="dxa"/>
        <w:right w:w="0" w:type="dxa"/>
      </w:tblCellMar>
    </w:tblPr>
  </w:style>
  <w:style w:type="table" w:customStyle="1" w:styleId="26">
    <w:name w:val="_Style 16"/>
    <w:basedOn w:val="23"/>
    <w:qFormat/>
    <w:uiPriority w:val="0"/>
    <w:tblPr>
      <w:tblLayout w:type="fixed"/>
      <w:tblCellMar>
        <w:top w:w="0" w:type="dxa"/>
        <w:left w:w="0" w:type="dxa"/>
        <w:bottom w:w="0" w:type="dxa"/>
        <w:right w:w="0" w:type="dxa"/>
      </w:tblCellMar>
    </w:tblPr>
  </w:style>
  <w:style w:type="table" w:customStyle="1" w:styleId="27">
    <w:name w:val="_Style 17"/>
    <w:basedOn w:val="23"/>
    <w:qFormat/>
    <w:uiPriority w:val="0"/>
    <w:tblPr>
      <w:tblLayout w:type="fixed"/>
      <w:tblCellMar>
        <w:top w:w="0" w:type="dxa"/>
        <w:left w:w="0" w:type="dxa"/>
        <w:bottom w:w="0" w:type="dxa"/>
        <w:right w:w="0" w:type="dxa"/>
      </w:tblCellMar>
    </w:tblPr>
  </w:style>
  <w:style w:type="table" w:customStyle="1" w:styleId="28">
    <w:name w:val="_Style 18"/>
    <w:basedOn w:val="23"/>
    <w:qFormat/>
    <w:uiPriority w:val="0"/>
    <w:tblPr>
      <w:tblLayout w:type="fixed"/>
      <w:tblCellMar>
        <w:top w:w="0" w:type="dxa"/>
        <w:left w:w="0" w:type="dxa"/>
        <w:bottom w:w="0" w:type="dxa"/>
        <w:right w:w="0" w:type="dxa"/>
      </w:tblCellMar>
    </w:tblPr>
  </w:style>
  <w:style w:type="table" w:customStyle="1" w:styleId="29">
    <w:name w:val="_Style 19"/>
    <w:basedOn w:val="23"/>
    <w:qFormat/>
    <w:uiPriority w:val="0"/>
    <w:tblPr>
      <w:tblLayout w:type="fixed"/>
      <w:tblCellMar>
        <w:top w:w="0" w:type="dxa"/>
        <w:left w:w="115" w:type="dxa"/>
        <w:bottom w:w="0" w:type="dxa"/>
        <w:right w:w="115" w:type="dxa"/>
      </w:tblCellMar>
    </w:tblPr>
  </w:style>
  <w:style w:type="table" w:customStyle="1" w:styleId="30">
    <w:name w:val="_Style 20"/>
    <w:basedOn w:val="23"/>
    <w:qFormat/>
    <w:uiPriority w:val="0"/>
    <w:tblPr>
      <w:tblLayout w:type="fixed"/>
      <w:tblCellMar>
        <w:top w:w="0" w:type="dxa"/>
        <w:left w:w="0" w:type="dxa"/>
        <w:bottom w:w="0" w:type="dxa"/>
        <w:right w:w="0" w:type="dxa"/>
      </w:tblCellMar>
    </w:tblPr>
  </w:style>
  <w:style w:type="table" w:customStyle="1" w:styleId="31">
    <w:name w:val="_Style 21"/>
    <w:basedOn w:val="23"/>
    <w:qFormat/>
    <w:uiPriority w:val="0"/>
    <w:tblPr>
      <w:tblLayout w:type="fixed"/>
      <w:tblCellMar>
        <w:top w:w="0" w:type="dxa"/>
        <w:left w:w="0" w:type="dxa"/>
        <w:bottom w:w="0" w:type="dxa"/>
        <w:right w:w="0" w:type="dxa"/>
      </w:tblCellMar>
    </w:tblPr>
  </w:style>
  <w:style w:type="table" w:customStyle="1" w:styleId="32">
    <w:name w:val="_Style 22"/>
    <w:basedOn w:val="23"/>
    <w:qFormat/>
    <w:uiPriority w:val="0"/>
    <w:tblPr>
      <w:tblLayout w:type="fixed"/>
      <w:tblCellMar>
        <w:top w:w="0" w:type="dxa"/>
        <w:left w:w="0" w:type="dxa"/>
        <w:bottom w:w="0" w:type="dxa"/>
        <w:right w:w="0" w:type="dxa"/>
      </w:tblCellMar>
    </w:tblPr>
  </w:style>
  <w:style w:type="table" w:customStyle="1" w:styleId="33">
    <w:name w:val="_Style 23"/>
    <w:basedOn w:val="23"/>
    <w:qFormat/>
    <w:uiPriority w:val="0"/>
    <w:tblPr>
      <w:tblLayout w:type="fixed"/>
      <w:tblCellMar>
        <w:top w:w="0" w:type="dxa"/>
        <w:left w:w="70" w:type="dxa"/>
        <w:bottom w:w="0" w:type="dxa"/>
        <w:right w:w="70" w:type="dxa"/>
      </w:tblCellMar>
    </w:tblPr>
  </w:style>
  <w:style w:type="table" w:customStyle="1" w:styleId="34">
    <w:name w:val="_Style 24"/>
    <w:basedOn w:val="23"/>
    <w:qFormat/>
    <w:uiPriority w:val="0"/>
    <w:tblPr>
      <w:tblLayout w:type="fixed"/>
      <w:tblCellMar>
        <w:top w:w="0" w:type="dxa"/>
        <w:left w:w="0" w:type="dxa"/>
        <w:bottom w:w="0" w:type="dxa"/>
        <w:right w:w="0" w:type="dxa"/>
      </w:tblCellMar>
    </w:tblPr>
  </w:style>
  <w:style w:type="table" w:customStyle="1" w:styleId="35">
    <w:name w:val="_Style 25"/>
    <w:basedOn w:val="23"/>
    <w:qFormat/>
    <w:uiPriority w:val="0"/>
    <w:tblPr>
      <w:tblLayout w:type="fixed"/>
      <w:tblCellMar>
        <w:top w:w="0" w:type="dxa"/>
        <w:left w:w="70" w:type="dxa"/>
        <w:bottom w:w="0" w:type="dxa"/>
        <w:right w:w="70" w:type="dxa"/>
      </w:tblCellMar>
    </w:tblPr>
  </w:style>
  <w:style w:type="table" w:customStyle="1" w:styleId="36">
    <w:name w:val="_Style 26"/>
    <w:basedOn w:val="23"/>
    <w:qFormat/>
    <w:uiPriority w:val="0"/>
    <w:tblPr>
      <w:tblLayout w:type="fixed"/>
      <w:tblCellMar>
        <w:top w:w="0" w:type="dxa"/>
        <w:left w:w="70" w:type="dxa"/>
        <w:bottom w:w="0" w:type="dxa"/>
        <w:right w:w="70" w:type="dxa"/>
      </w:tblCellMar>
    </w:tblPr>
  </w:style>
  <w:style w:type="table" w:customStyle="1" w:styleId="37">
    <w:name w:val="_Style 27"/>
    <w:basedOn w:val="23"/>
    <w:qFormat/>
    <w:uiPriority w:val="0"/>
    <w:tblPr>
      <w:tblLayout w:type="fixed"/>
      <w:tblCellMar>
        <w:top w:w="0" w:type="dxa"/>
        <w:left w:w="0" w:type="dxa"/>
        <w:bottom w:w="0" w:type="dxa"/>
        <w:right w:w="0" w:type="dxa"/>
      </w:tblCellMar>
    </w:tblPr>
  </w:style>
  <w:style w:type="table" w:customStyle="1" w:styleId="38">
    <w:name w:val="_Style 28"/>
    <w:basedOn w:val="23"/>
    <w:qFormat/>
    <w:uiPriority w:val="0"/>
    <w:tblPr>
      <w:tblLayout w:type="fixed"/>
      <w:tblCellMar>
        <w:top w:w="0" w:type="dxa"/>
        <w:left w:w="0" w:type="dxa"/>
        <w:bottom w:w="0" w:type="dxa"/>
        <w:right w:w="0" w:type="dxa"/>
      </w:tblCellMar>
    </w:tblPr>
  </w:style>
  <w:style w:type="table" w:customStyle="1" w:styleId="39">
    <w:name w:val="_Style 29"/>
    <w:basedOn w:val="23"/>
    <w:qFormat/>
    <w:uiPriority w:val="0"/>
    <w:tblPr>
      <w:tblLayout w:type="fixed"/>
      <w:tblCellMar>
        <w:top w:w="0" w:type="dxa"/>
        <w:left w:w="0" w:type="dxa"/>
        <w:bottom w:w="0" w:type="dxa"/>
        <w:right w:w="0" w:type="dxa"/>
      </w:tblCellMar>
    </w:tblPr>
  </w:style>
  <w:style w:type="table" w:customStyle="1" w:styleId="40">
    <w:name w:val="_Style 30"/>
    <w:basedOn w:val="23"/>
    <w:qFormat/>
    <w:uiPriority w:val="0"/>
    <w:tblPr>
      <w:tblLayout w:type="fixed"/>
      <w:tblCellMar>
        <w:top w:w="0" w:type="dxa"/>
        <w:left w:w="0" w:type="dxa"/>
        <w:bottom w:w="0" w:type="dxa"/>
        <w:right w:w="0" w:type="dxa"/>
      </w:tblCellMar>
    </w:tblPr>
  </w:style>
  <w:style w:type="table" w:customStyle="1" w:styleId="41">
    <w:name w:val="_Style 31"/>
    <w:basedOn w:val="23"/>
    <w:qFormat/>
    <w:uiPriority w:val="0"/>
    <w:tblPr>
      <w:tblLayout w:type="fixed"/>
      <w:tblCellMar>
        <w:top w:w="0" w:type="dxa"/>
        <w:left w:w="0" w:type="dxa"/>
        <w:bottom w:w="0" w:type="dxa"/>
        <w:right w:w="0" w:type="dxa"/>
      </w:tblCellMar>
    </w:tblPr>
  </w:style>
  <w:style w:type="table" w:customStyle="1" w:styleId="42">
    <w:name w:val="_Style 32"/>
    <w:basedOn w:val="23"/>
    <w:qFormat/>
    <w:uiPriority w:val="0"/>
    <w:tblPr>
      <w:tblLayout w:type="fixed"/>
      <w:tblCellMar>
        <w:top w:w="0" w:type="dxa"/>
        <w:left w:w="0" w:type="dxa"/>
        <w:bottom w:w="0" w:type="dxa"/>
        <w:right w:w="0" w:type="dxa"/>
      </w:tblCellMar>
    </w:tblPr>
  </w:style>
  <w:style w:type="table" w:customStyle="1" w:styleId="43">
    <w:name w:val="_Style 33"/>
    <w:basedOn w:val="23"/>
    <w:qFormat/>
    <w:uiPriority w:val="0"/>
    <w:tblPr>
      <w:tblLayout w:type="fixed"/>
      <w:tblCellMar>
        <w:top w:w="0" w:type="dxa"/>
        <w:left w:w="72" w:type="dxa"/>
        <w:bottom w:w="0" w:type="dxa"/>
        <w:right w:w="72" w:type="dxa"/>
      </w:tblCellMar>
    </w:tblPr>
  </w:style>
  <w:style w:type="table" w:customStyle="1" w:styleId="44">
    <w:name w:val="_Style 34"/>
    <w:basedOn w:val="23"/>
    <w:qFormat/>
    <w:uiPriority w:val="0"/>
    <w:tblPr>
      <w:tblLayout w:type="fixed"/>
      <w:tblCellMar>
        <w:top w:w="0" w:type="dxa"/>
        <w:left w:w="0" w:type="dxa"/>
        <w:bottom w:w="0" w:type="dxa"/>
        <w:right w:w="0" w:type="dxa"/>
      </w:tblCellMar>
    </w:tblPr>
  </w:style>
  <w:style w:type="table" w:customStyle="1" w:styleId="45">
    <w:name w:val="_Style 35"/>
    <w:basedOn w:val="23"/>
    <w:qFormat/>
    <w:uiPriority w:val="0"/>
    <w:tblPr>
      <w:tblLayout w:type="fixed"/>
      <w:tblCellMar>
        <w:top w:w="0" w:type="dxa"/>
        <w:left w:w="108" w:type="dxa"/>
        <w:bottom w:w="0" w:type="dxa"/>
        <w:right w:w="108" w:type="dxa"/>
      </w:tblCellMar>
    </w:tblPr>
  </w:style>
  <w:style w:type="table" w:customStyle="1" w:styleId="46">
    <w:name w:val="_Style 36"/>
    <w:basedOn w:val="23"/>
    <w:qFormat/>
    <w:uiPriority w:val="0"/>
    <w:tblPr>
      <w:tblLayout w:type="fixed"/>
      <w:tblCellMar>
        <w:top w:w="0" w:type="dxa"/>
        <w:left w:w="0" w:type="dxa"/>
        <w:bottom w:w="0" w:type="dxa"/>
        <w:right w:w="0" w:type="dxa"/>
      </w:tblCellMar>
    </w:tblPr>
  </w:style>
  <w:style w:type="table" w:customStyle="1" w:styleId="47">
    <w:name w:val="_Style 37"/>
    <w:basedOn w:val="23"/>
    <w:qFormat/>
    <w:uiPriority w:val="0"/>
    <w:tblPr>
      <w:tblLayout w:type="fixed"/>
      <w:tblCellMar>
        <w:top w:w="0" w:type="dxa"/>
        <w:left w:w="0" w:type="dxa"/>
        <w:bottom w:w="0" w:type="dxa"/>
        <w:right w:w="0" w:type="dxa"/>
      </w:tblCellMar>
    </w:tblPr>
  </w:style>
  <w:style w:type="table" w:customStyle="1" w:styleId="48">
    <w:name w:val="_Style 38"/>
    <w:basedOn w:val="23"/>
    <w:qFormat/>
    <w:uiPriority w:val="0"/>
    <w:tblPr>
      <w:tblLayout w:type="fixed"/>
      <w:tblCellMar>
        <w:top w:w="0" w:type="dxa"/>
        <w:left w:w="0" w:type="dxa"/>
        <w:bottom w:w="0" w:type="dxa"/>
        <w:right w:w="0" w:type="dxa"/>
      </w:tblCellMar>
    </w:tblPr>
  </w:style>
  <w:style w:type="table" w:customStyle="1" w:styleId="49">
    <w:name w:val="_Style 39"/>
    <w:basedOn w:val="23"/>
    <w:qFormat/>
    <w:uiPriority w:val="0"/>
    <w:tblPr>
      <w:tblLayout w:type="fixed"/>
      <w:tblCellMar>
        <w:top w:w="0" w:type="dxa"/>
        <w:left w:w="0" w:type="dxa"/>
        <w:bottom w:w="0" w:type="dxa"/>
        <w:right w:w="0" w:type="dxa"/>
      </w:tblCellMar>
    </w:tblPr>
  </w:style>
  <w:style w:type="table" w:customStyle="1" w:styleId="50">
    <w:name w:val="_Style 40"/>
    <w:basedOn w:val="23"/>
    <w:qFormat/>
    <w:uiPriority w:val="0"/>
    <w:pPr>
      <w:widowControl w:val="0"/>
    </w:pPr>
    <w:rPr>
      <w:rFonts w:ascii="Calibri" w:hAnsi="Calibri" w:eastAsia="Calibri" w:cs="Calibri"/>
      <w:sz w:val="22"/>
      <w:szCs w:val="22"/>
    </w:rPr>
    <w:tblPr>
      <w:tblLayout w:type="fixed"/>
      <w:tblCellMar>
        <w:top w:w="0" w:type="dxa"/>
        <w:left w:w="0" w:type="dxa"/>
        <w:bottom w:w="0" w:type="dxa"/>
        <w:right w:w="0" w:type="dxa"/>
      </w:tblCellMar>
    </w:tblPr>
  </w:style>
  <w:style w:type="character" w:customStyle="1" w:styleId="51">
    <w:name w:val="Texte de bulles Car"/>
    <w:basedOn w:val="20"/>
    <w:link w:val="14"/>
    <w:semiHidden/>
    <w:qFormat/>
    <w:uiPriority w:val="99"/>
    <w:rPr>
      <w:rFonts w:ascii="Tahoma" w:hAnsi="Tahoma" w:cs="Tahoma"/>
      <w:sz w:val="16"/>
      <w:szCs w:val="16"/>
    </w:rPr>
  </w:style>
  <w:style w:type="paragraph" w:customStyle="1" w:styleId="52">
    <w:name w:val="AAO articles"/>
    <w:basedOn w:val="1"/>
    <w:link w:val="53"/>
    <w:qFormat/>
    <w:uiPriority w:val="0"/>
    <w:pPr>
      <w:widowControl w:val="0"/>
      <w:numPr>
        <w:ilvl w:val="0"/>
        <w:numId w:val="1"/>
      </w:numPr>
      <w:suppressAutoHyphens/>
      <w:autoSpaceDE w:val="0"/>
      <w:autoSpaceDN w:val="0"/>
      <w:spacing w:before="120" w:after="120"/>
      <w:textAlignment w:val="baseline"/>
    </w:pPr>
    <w:rPr>
      <w:rFonts w:ascii="Arial Narrow" w:hAnsi="Arial Narrow" w:cs="Arial"/>
      <w:b/>
      <w:bCs/>
      <w:sz w:val="28"/>
    </w:rPr>
  </w:style>
  <w:style w:type="character" w:customStyle="1" w:styleId="53">
    <w:name w:val="AAO articles Car"/>
    <w:basedOn w:val="20"/>
    <w:link w:val="52"/>
    <w:qFormat/>
    <w:uiPriority w:val="0"/>
    <w:rPr>
      <w:rFonts w:ascii="Arial Narrow" w:hAnsi="Arial Narrow" w:cs="Arial"/>
      <w:b/>
      <w:bCs/>
      <w:sz w:val="28"/>
      <w:szCs w:val="24"/>
    </w:rPr>
  </w:style>
  <w:style w:type="character" w:customStyle="1" w:styleId="54">
    <w:name w:val="Retrait corps de texte 3 Car"/>
    <w:basedOn w:val="20"/>
    <w:link w:val="12"/>
    <w:semiHidden/>
    <w:qFormat/>
    <w:uiPriority w:val="99"/>
    <w:rPr>
      <w:sz w:val="16"/>
      <w:szCs w:val="16"/>
    </w:rPr>
  </w:style>
  <w:style w:type="character" w:customStyle="1" w:styleId="55">
    <w:name w:val="Titre 7 Car"/>
    <w:basedOn w:val="20"/>
    <w:link w:val="9"/>
    <w:semiHidden/>
    <w:qFormat/>
    <w:uiPriority w:val="9"/>
    <w:rPr>
      <w:rFonts w:asciiTheme="majorHAnsi" w:hAnsiTheme="majorHAnsi" w:eastAsiaTheme="majorEastAsia" w:cstheme="majorBidi"/>
      <w:i/>
      <w:iCs/>
      <w:color w:val="254061" w:themeColor="accent1" w:themeShade="80"/>
    </w:rPr>
  </w:style>
  <w:style w:type="character" w:customStyle="1" w:styleId="56">
    <w:name w:val="Corps de texte Car"/>
    <w:basedOn w:val="20"/>
    <w:link w:val="13"/>
    <w:semiHidden/>
    <w:qFormat/>
    <w:uiPriority w:val="99"/>
  </w:style>
  <w:style w:type="character" w:customStyle="1" w:styleId="57">
    <w:name w:val="Corps de texte 3 Car"/>
    <w:basedOn w:val="20"/>
    <w:link w:val="11"/>
    <w:semiHidden/>
    <w:qFormat/>
    <w:uiPriority w:val="99"/>
    <w:rPr>
      <w:sz w:val="16"/>
      <w:szCs w:val="16"/>
    </w:rPr>
  </w:style>
  <w:style w:type="character" w:customStyle="1" w:styleId="58">
    <w:name w:val="En-tête Car"/>
    <w:basedOn w:val="20"/>
    <w:link w:val="16"/>
    <w:qFormat/>
    <w:uiPriority w:val="0"/>
    <w:rPr>
      <w:rFonts w:asciiTheme="minorHAnsi" w:hAnsiTheme="minorHAnsi" w:eastAsiaTheme="minorEastAsia" w:cstheme="minorBidi"/>
      <w:sz w:val="22"/>
      <w:szCs w:val="22"/>
    </w:rPr>
  </w:style>
  <w:style w:type="paragraph" w:customStyle="1" w:styleId="59">
    <w:name w:val="Paragraphe de liste1"/>
    <w:basedOn w:val="1"/>
    <w:qFormat/>
    <w:uiPriority w:val="34"/>
    <w:pPr>
      <w:suppressAutoHyphens/>
      <w:autoSpaceDN w:val="0"/>
      <w:spacing w:line="244" w:lineRule="auto"/>
      <w:ind w:left="720"/>
      <w:textAlignment w:val="baseline"/>
    </w:pPr>
    <w:rPr>
      <w:rFonts w:ascii="Calibri" w:hAnsi="Calibri" w:eastAsia="Calibri"/>
      <w:sz w:val="22"/>
      <w:szCs w:val="22"/>
      <w:lang w:eastAsia="en-US"/>
    </w:rPr>
  </w:style>
  <w:style w:type="paragraph" w:customStyle="1" w:styleId="60">
    <w:name w:val="Sans interligne1"/>
    <w:link w:val="61"/>
    <w:qFormat/>
    <w:uiPriority w:val="1"/>
    <w:pPr>
      <w:suppressAutoHyphens/>
      <w:autoSpaceDN w:val="0"/>
      <w:spacing w:after="160" w:line="259" w:lineRule="auto"/>
      <w:textAlignment w:val="baseline"/>
    </w:pPr>
    <w:rPr>
      <w:rFonts w:ascii="Times New Roman" w:hAnsi="Times New Roman" w:eastAsia="Times New Roman" w:cs="Times New Roman"/>
      <w:sz w:val="24"/>
      <w:szCs w:val="24"/>
      <w:lang w:val="fr-FR" w:eastAsia="fr-FR" w:bidi="ar-SA"/>
    </w:rPr>
  </w:style>
  <w:style w:type="character" w:customStyle="1" w:styleId="61">
    <w:name w:val="Sans interligne Car1"/>
    <w:basedOn w:val="20"/>
    <w:link w:val="60"/>
    <w:qFormat/>
    <w:uiPriority w:val="1"/>
  </w:style>
  <w:style w:type="paragraph" w:customStyle="1" w:styleId="62">
    <w:name w:val="List Paragraph"/>
    <w:basedOn w:val="1"/>
    <w:qFormat/>
    <w:uiPriority w:val="34"/>
    <w:pPr>
      <w:ind w:left="720"/>
      <w:contextualSpacing/>
    </w:pPr>
    <w:rPr>
      <w:rFonts w:asciiTheme="minorHAnsi" w:hAnsiTheme="minorHAnsi" w:eastAsiaTheme="minorHAnsi" w:cstheme="minorBidi"/>
      <w:sz w:val="22"/>
      <w:szCs w:val="22"/>
      <w:lang w:eastAsia="en-US"/>
    </w:rPr>
  </w:style>
  <w:style w:type="paragraph" w:customStyle="1" w:styleId="63">
    <w:name w:val="DTAO titre"/>
    <w:basedOn w:val="1"/>
    <w:link w:val="64"/>
    <w:qFormat/>
    <w:uiPriority w:val="0"/>
    <w:pPr>
      <w:widowControl w:val="0"/>
      <w:suppressAutoHyphens/>
      <w:autoSpaceDE w:val="0"/>
      <w:autoSpaceDN w:val="0"/>
      <w:spacing w:line="360" w:lineRule="auto"/>
      <w:jc w:val="center"/>
      <w:textAlignment w:val="baseline"/>
    </w:pPr>
    <w:rPr>
      <w:rFonts w:eastAsia="SimSun"/>
      <w:b/>
      <w:bCs/>
      <w:caps/>
      <w:spacing w:val="36"/>
      <w:w w:val="80"/>
      <w:position w:val="-1"/>
      <w:sz w:val="32"/>
      <w:szCs w:val="60"/>
    </w:rPr>
  </w:style>
  <w:style w:type="character" w:customStyle="1" w:styleId="64">
    <w:name w:val="DTAO titre Car"/>
    <w:basedOn w:val="20"/>
    <w:link w:val="63"/>
    <w:qFormat/>
    <w:uiPriority w:val="0"/>
    <w:rPr>
      <w:rFonts w:eastAsia="SimSun"/>
      <w:b/>
      <w:bCs/>
      <w:caps/>
      <w:spacing w:val="36"/>
      <w:w w:val="80"/>
      <w:position w:val="-1"/>
      <w:sz w:val="32"/>
      <w:szCs w:val="60"/>
    </w:rPr>
  </w:style>
  <w:style w:type="character" w:customStyle="1" w:styleId="65">
    <w:name w:val="Pied de page Car"/>
    <w:basedOn w:val="20"/>
    <w:link w:val="15"/>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178</Pages>
  <Words>51908</Words>
  <Characters>285495</Characters>
  <Lines>2379</Lines>
  <Paragraphs>673</Paragraphs>
  <ScaleCrop>false</ScaleCrop>
  <LinksUpToDate>false</LinksUpToDate>
  <CharactersWithSpaces>336730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2025-05-10T13:33:00Z</dcterms:created>
  <dc:creator>armpsud</dc:creator>
  <cp:lastModifiedBy>iPad</cp:lastModifiedBy>
  <dcterms:modified xsi:type="dcterms:W3CDTF">2025-05-12T14:19:53Z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